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351A" w14:textId="77777777" w:rsidR="00003D01" w:rsidRDefault="00003D01">
      <w:pPr>
        <w:rPr>
          <w:rFonts w:ascii="Arial" w:hAnsi="Arial" w:cs="Arial"/>
          <w:color w:val="4472C4" w:themeColor="accent1"/>
          <w:sz w:val="22"/>
          <w:szCs w:val="22"/>
        </w:rPr>
      </w:pPr>
    </w:p>
    <w:p w14:paraId="1BC3CD09" w14:textId="77777777" w:rsidR="00003D01" w:rsidRDefault="00003D01">
      <w:pPr>
        <w:rPr>
          <w:rFonts w:ascii="Arial" w:hAnsi="Arial" w:cs="Arial"/>
          <w:color w:val="4472C4" w:themeColor="accent1"/>
          <w:sz w:val="22"/>
          <w:szCs w:val="22"/>
        </w:rPr>
      </w:pPr>
    </w:p>
    <w:p w14:paraId="419D9AA7" w14:textId="77777777" w:rsidR="00003D01" w:rsidRDefault="00003D01">
      <w:pPr>
        <w:rPr>
          <w:rFonts w:ascii="Arial" w:hAnsi="Arial" w:cs="Arial"/>
          <w:color w:val="4472C4" w:themeColor="accent1"/>
          <w:sz w:val="22"/>
          <w:szCs w:val="22"/>
        </w:rPr>
      </w:pPr>
    </w:p>
    <w:p w14:paraId="5642BDFA" w14:textId="77777777" w:rsidR="00003D01" w:rsidRDefault="00003D01">
      <w:pPr>
        <w:rPr>
          <w:rFonts w:ascii="Arial" w:hAnsi="Arial" w:cs="Arial"/>
          <w:color w:val="4472C4" w:themeColor="accent1"/>
          <w:sz w:val="22"/>
          <w:szCs w:val="22"/>
        </w:rPr>
      </w:pPr>
    </w:p>
    <w:p w14:paraId="597EFA55" w14:textId="77777777" w:rsidR="00003D01" w:rsidRDefault="00003D01">
      <w:pPr>
        <w:rPr>
          <w:rFonts w:ascii="Arial" w:hAnsi="Arial" w:cs="Arial"/>
          <w:color w:val="4472C4" w:themeColor="accent1"/>
          <w:sz w:val="22"/>
          <w:szCs w:val="22"/>
        </w:rPr>
      </w:pPr>
    </w:p>
    <w:p w14:paraId="775678E6" w14:textId="439A03CB" w:rsidR="00003D01" w:rsidRDefault="00C30AEA" w:rsidP="00E37566">
      <w:pPr>
        <w:pStyle w:val="Title"/>
      </w:pPr>
      <w:r>
        <w:t>Revalidation Clinical Governance Policy</w:t>
      </w:r>
    </w:p>
    <w:p w14:paraId="4B691095" w14:textId="20C1DD32" w:rsidR="00003D01" w:rsidRDefault="00C30AEA" w:rsidP="00E37566">
      <w:pPr>
        <w:pStyle w:val="Heading2"/>
        <w:jc w:val="center"/>
        <w:rPr>
          <w:rFonts w:ascii="Arial" w:hAnsi="Arial" w:cs="Arial"/>
          <w:b/>
          <w:bCs/>
          <w:color w:val="1F4E79" w:themeColor="accent5" w:themeShade="80"/>
        </w:rPr>
      </w:pPr>
      <w:r>
        <w:rPr>
          <w:rFonts w:ascii="Arial" w:hAnsi="Arial" w:cs="Arial"/>
          <w:b/>
          <w:bCs/>
          <w:color w:val="1F4E79" w:themeColor="accent5" w:themeShade="80"/>
        </w:rPr>
        <w:t>December 2021</w:t>
      </w:r>
    </w:p>
    <w:p w14:paraId="18ADF5E1" w14:textId="77777777" w:rsidR="00003D01" w:rsidRDefault="00C30AEA" w:rsidP="00E37566">
      <w:pPr>
        <w:pStyle w:val="Heading1"/>
      </w:pPr>
      <w:r>
        <w:t>Introduction</w:t>
      </w:r>
    </w:p>
    <w:p w14:paraId="64BE72BB" w14:textId="77777777" w:rsidR="00003D01" w:rsidRDefault="00C30AEA" w:rsidP="00E37566">
      <w:pPr>
        <w:spacing w:before="120"/>
        <w:ind w:left="0"/>
        <w:rPr>
          <w:rFonts w:ascii="Arial" w:hAnsi="Arial" w:cs="Arial"/>
          <w:sz w:val="22"/>
          <w:szCs w:val="22"/>
        </w:rPr>
      </w:pPr>
      <w:r>
        <w:rPr>
          <w:rFonts w:ascii="Arial" w:hAnsi="Arial" w:cs="Arial"/>
          <w:sz w:val="22"/>
          <w:szCs w:val="22"/>
        </w:rPr>
        <w:t xml:space="preserve">Supporting, enhancing and strengthening the process of appraisal for revalidation requires efficient clinical governance and quality improvement systems to be in place. </w:t>
      </w:r>
    </w:p>
    <w:p w14:paraId="79446066" w14:textId="0A0CAC38" w:rsidR="00003D01" w:rsidRDefault="00C30AEA" w:rsidP="00E37566">
      <w:pPr>
        <w:spacing w:before="120"/>
        <w:ind w:left="0"/>
        <w:rPr>
          <w:rFonts w:ascii="Arial" w:hAnsi="Arial" w:cs="Arial"/>
          <w:sz w:val="22"/>
          <w:szCs w:val="22"/>
        </w:rPr>
      </w:pPr>
      <w:r>
        <w:rPr>
          <w:rFonts w:ascii="Arial" w:hAnsi="Arial" w:cs="Arial"/>
          <w:sz w:val="22"/>
          <w:szCs w:val="22"/>
        </w:rPr>
        <w:t xml:space="preserve">This document outlines the Faculty of Public Health (FPH) clinical governance policy </w:t>
      </w:r>
      <w:r w:rsidR="009B2953">
        <w:rPr>
          <w:rFonts w:ascii="Arial" w:hAnsi="Arial" w:cs="Arial"/>
          <w:sz w:val="22"/>
          <w:szCs w:val="22"/>
        </w:rPr>
        <w:t>for</w:t>
      </w:r>
      <w:r>
        <w:rPr>
          <w:rFonts w:ascii="Arial" w:hAnsi="Arial" w:cs="Arial"/>
          <w:sz w:val="22"/>
          <w:szCs w:val="22"/>
        </w:rPr>
        <w:t xml:space="preserve"> those members with a prescribed connection to FPH</w:t>
      </w:r>
      <w:r w:rsidR="009B2953">
        <w:rPr>
          <w:rFonts w:ascii="Arial" w:hAnsi="Arial" w:cs="Arial"/>
          <w:sz w:val="22"/>
          <w:szCs w:val="22"/>
        </w:rPr>
        <w:t xml:space="preserve"> for the purpose of revalidation</w:t>
      </w:r>
      <w:r>
        <w:rPr>
          <w:rFonts w:ascii="Arial" w:hAnsi="Arial" w:cs="Arial"/>
          <w:sz w:val="22"/>
          <w:szCs w:val="22"/>
        </w:rPr>
        <w:t>.</w:t>
      </w:r>
    </w:p>
    <w:p w14:paraId="4F331B8B" w14:textId="77777777" w:rsidR="00003D01" w:rsidRDefault="00C30AEA" w:rsidP="00E37566">
      <w:pPr>
        <w:pStyle w:val="Heading1"/>
      </w:pPr>
      <w:r>
        <w:t>Background</w:t>
      </w:r>
    </w:p>
    <w:p w14:paraId="76B49250" w14:textId="3E2B2969" w:rsidR="00003D01" w:rsidRDefault="00C30AEA" w:rsidP="00E37566">
      <w:pPr>
        <w:spacing w:before="120"/>
        <w:ind w:left="0"/>
        <w:rPr>
          <w:rFonts w:ascii="Arial" w:hAnsi="Arial" w:cs="Arial"/>
          <w:sz w:val="22"/>
          <w:szCs w:val="22"/>
        </w:rPr>
      </w:pPr>
      <w:r>
        <w:rPr>
          <w:rFonts w:ascii="Arial" w:hAnsi="Arial" w:cs="Arial"/>
          <w:sz w:val="22"/>
          <w:szCs w:val="22"/>
        </w:rPr>
        <w:t xml:space="preserve">This policy is based on the principals of joint GMC / NHS / System Regulators guidance </w:t>
      </w:r>
      <w:hyperlink r:id="rId8" w:history="1">
        <w:r w:rsidRPr="00526B09">
          <w:rPr>
            <w:rStyle w:val="Hyperlink"/>
            <w:rFonts w:ascii="Arial" w:hAnsi="Arial" w:cs="Arial"/>
            <w:sz w:val="22"/>
            <w:szCs w:val="22"/>
          </w:rPr>
          <w:t>Effective clinical governance for the medical profession: A handbook for organisations employing, contracting or overseeing the practice of members.</w:t>
        </w:r>
      </w:hyperlink>
      <w:r>
        <w:rPr>
          <w:rFonts w:ascii="Arial" w:hAnsi="Arial" w:cs="Arial"/>
          <w:sz w:val="22"/>
          <w:szCs w:val="22"/>
        </w:rPr>
        <w:t xml:space="preserve"> It relates to all the FPH functions </w:t>
      </w:r>
      <w:r w:rsidR="009B2953">
        <w:rPr>
          <w:rFonts w:ascii="Arial" w:hAnsi="Arial" w:cs="Arial"/>
          <w:sz w:val="22"/>
          <w:szCs w:val="22"/>
        </w:rPr>
        <w:t>linked</w:t>
      </w:r>
      <w:r>
        <w:rPr>
          <w:rFonts w:ascii="Arial" w:hAnsi="Arial" w:cs="Arial"/>
          <w:sz w:val="22"/>
          <w:szCs w:val="22"/>
        </w:rPr>
        <w:t xml:space="preserve"> to supporting the </w:t>
      </w:r>
      <w:r w:rsidR="009B2953">
        <w:rPr>
          <w:rFonts w:ascii="Arial" w:hAnsi="Arial" w:cs="Arial"/>
          <w:sz w:val="22"/>
          <w:szCs w:val="22"/>
        </w:rPr>
        <w:t>appraisal and revalidation</w:t>
      </w:r>
      <w:r>
        <w:rPr>
          <w:rFonts w:ascii="Arial" w:hAnsi="Arial" w:cs="Arial"/>
          <w:sz w:val="22"/>
          <w:szCs w:val="22"/>
        </w:rPr>
        <w:t xml:space="preserve"> of </w:t>
      </w:r>
      <w:r w:rsidR="009B2953">
        <w:rPr>
          <w:rFonts w:ascii="Arial" w:hAnsi="Arial" w:cs="Arial"/>
          <w:sz w:val="22"/>
          <w:szCs w:val="22"/>
        </w:rPr>
        <w:t xml:space="preserve">its connected </w:t>
      </w:r>
      <w:r>
        <w:rPr>
          <w:rFonts w:ascii="Arial" w:hAnsi="Arial" w:cs="Arial"/>
          <w:sz w:val="22"/>
          <w:szCs w:val="22"/>
        </w:rPr>
        <w:t>members. The fundamental purpose of th</w:t>
      </w:r>
      <w:r w:rsidR="009B2953">
        <w:rPr>
          <w:rFonts w:ascii="Arial" w:hAnsi="Arial" w:cs="Arial"/>
          <w:sz w:val="22"/>
          <w:szCs w:val="22"/>
        </w:rPr>
        <w:t>is</w:t>
      </w:r>
      <w:r>
        <w:rPr>
          <w:rFonts w:ascii="Arial" w:hAnsi="Arial" w:cs="Arial"/>
          <w:sz w:val="22"/>
          <w:szCs w:val="22"/>
        </w:rPr>
        <w:t xml:space="preserve"> policy is to support safe and effective public health practice, which is consistent with the core purpose of the FPH.</w:t>
      </w:r>
    </w:p>
    <w:p w14:paraId="085DF9B5" w14:textId="1DDF199F" w:rsidR="00003D01" w:rsidRDefault="00C30AEA" w:rsidP="00E37566">
      <w:pPr>
        <w:spacing w:before="120"/>
        <w:ind w:left="0"/>
        <w:rPr>
          <w:rFonts w:ascii="Arial" w:hAnsi="Arial" w:cs="Arial"/>
          <w:sz w:val="22"/>
          <w:szCs w:val="22"/>
        </w:rPr>
      </w:pPr>
      <w:r>
        <w:rPr>
          <w:rFonts w:ascii="Arial" w:hAnsi="Arial" w:cs="Arial"/>
          <w:sz w:val="22"/>
          <w:szCs w:val="22"/>
        </w:rPr>
        <w:t>Because the FPH does not provide clinical services</w:t>
      </w:r>
      <w:r w:rsidR="009B2953">
        <w:rPr>
          <w:rFonts w:ascii="Arial" w:hAnsi="Arial" w:cs="Arial"/>
          <w:sz w:val="22"/>
          <w:szCs w:val="22"/>
        </w:rPr>
        <w:t>,</w:t>
      </w:r>
      <w:r>
        <w:rPr>
          <w:rFonts w:ascii="Arial" w:hAnsi="Arial" w:cs="Arial"/>
          <w:sz w:val="22"/>
          <w:szCs w:val="22"/>
        </w:rPr>
        <w:t xml:space="preserve"> this policy only relates to the role of the FPH as a Designated Body for GMC registrants and a provider of appraisals for UKPHR registrants.</w:t>
      </w:r>
    </w:p>
    <w:p w14:paraId="184144F0" w14:textId="2F2BCCE1" w:rsidR="00003D01" w:rsidRPr="009B2953" w:rsidRDefault="00C30AEA" w:rsidP="00E37566">
      <w:pPr>
        <w:pStyle w:val="Heading4"/>
        <w:rPr>
          <w:sz w:val="22"/>
          <w:szCs w:val="22"/>
        </w:rPr>
      </w:pPr>
      <w:r w:rsidRPr="009B2953">
        <w:rPr>
          <w:sz w:val="22"/>
          <w:szCs w:val="22"/>
        </w:rPr>
        <w:t>The princip</w:t>
      </w:r>
      <w:r w:rsidR="00F6352D">
        <w:rPr>
          <w:sz w:val="22"/>
          <w:szCs w:val="22"/>
        </w:rPr>
        <w:t>les</w:t>
      </w:r>
      <w:r w:rsidRPr="009B2953">
        <w:rPr>
          <w:sz w:val="22"/>
          <w:szCs w:val="22"/>
        </w:rPr>
        <w:t xml:space="preserve"> on which this policy is based are:</w:t>
      </w:r>
    </w:p>
    <w:p w14:paraId="1AFE56CC" w14:textId="069EEE00" w:rsidR="00003D01" w:rsidRDefault="00C30AEA" w:rsidP="00E37566">
      <w:pPr>
        <w:pStyle w:val="ListParagraph"/>
        <w:numPr>
          <w:ilvl w:val="0"/>
          <w:numId w:val="2"/>
        </w:numPr>
        <w:spacing w:before="120"/>
        <w:ind w:left="567" w:hanging="283"/>
        <w:rPr>
          <w:rFonts w:ascii="Arial" w:hAnsi="Arial" w:cs="Arial"/>
          <w:sz w:val="22"/>
          <w:szCs w:val="22"/>
        </w:rPr>
      </w:pPr>
      <w:r>
        <w:rPr>
          <w:rFonts w:ascii="Arial" w:hAnsi="Arial" w:cs="Arial"/>
          <w:sz w:val="22"/>
          <w:szCs w:val="22"/>
        </w:rPr>
        <w:t xml:space="preserve">Organisations create an environment which delivers effective clinical governance for </w:t>
      </w:r>
      <w:r w:rsidR="009B2953">
        <w:rPr>
          <w:rFonts w:ascii="Arial" w:hAnsi="Arial" w:cs="Arial"/>
          <w:sz w:val="22"/>
          <w:szCs w:val="22"/>
        </w:rPr>
        <w:t xml:space="preserve">its </w:t>
      </w:r>
      <w:r>
        <w:rPr>
          <w:rFonts w:ascii="Arial" w:hAnsi="Arial" w:cs="Arial"/>
          <w:sz w:val="22"/>
          <w:szCs w:val="22"/>
        </w:rPr>
        <w:t xml:space="preserve">members </w:t>
      </w:r>
    </w:p>
    <w:p w14:paraId="2A549F03" w14:textId="504CC295" w:rsidR="00003D01" w:rsidRDefault="00C30AEA" w:rsidP="00E37566">
      <w:pPr>
        <w:pStyle w:val="ListParagraph"/>
        <w:numPr>
          <w:ilvl w:val="0"/>
          <w:numId w:val="2"/>
        </w:numPr>
        <w:spacing w:before="120"/>
        <w:ind w:left="567" w:hanging="283"/>
        <w:rPr>
          <w:rFonts w:ascii="Arial" w:hAnsi="Arial" w:cs="Arial"/>
          <w:sz w:val="22"/>
          <w:szCs w:val="22"/>
        </w:rPr>
      </w:pPr>
      <w:r>
        <w:rPr>
          <w:rFonts w:ascii="Arial" w:hAnsi="Arial" w:cs="Arial"/>
          <w:sz w:val="22"/>
          <w:szCs w:val="22"/>
        </w:rPr>
        <w:t>Clinical governance processes for members are managed, and monitored t</w:t>
      </w:r>
      <w:r w:rsidR="00F6352D">
        <w:rPr>
          <w:rFonts w:ascii="Arial" w:hAnsi="Arial" w:cs="Arial"/>
          <w:sz w:val="22"/>
          <w:szCs w:val="22"/>
        </w:rPr>
        <w:t>o</w:t>
      </w:r>
      <w:r>
        <w:rPr>
          <w:rFonts w:ascii="Arial" w:hAnsi="Arial" w:cs="Arial"/>
          <w:sz w:val="22"/>
          <w:szCs w:val="22"/>
        </w:rPr>
        <w:t xml:space="preserve"> support continuous service improvement and safety</w:t>
      </w:r>
    </w:p>
    <w:p w14:paraId="0B64F3D6" w14:textId="77777777" w:rsidR="00003D01" w:rsidRDefault="00C30AEA" w:rsidP="00E37566">
      <w:pPr>
        <w:pStyle w:val="ListParagraph"/>
        <w:numPr>
          <w:ilvl w:val="0"/>
          <w:numId w:val="2"/>
        </w:numPr>
        <w:spacing w:before="120"/>
        <w:ind w:left="567" w:hanging="283"/>
        <w:rPr>
          <w:rFonts w:ascii="Arial" w:hAnsi="Arial" w:cs="Arial"/>
          <w:sz w:val="22"/>
          <w:szCs w:val="22"/>
        </w:rPr>
      </w:pPr>
      <w:r>
        <w:rPr>
          <w:rFonts w:ascii="Arial" w:hAnsi="Arial" w:cs="Arial"/>
          <w:sz w:val="22"/>
          <w:szCs w:val="22"/>
        </w:rPr>
        <w:t xml:space="preserve">Safeguards are in place to make sure clinical governance processes for members are fair and free from discrimination and bias </w:t>
      </w:r>
    </w:p>
    <w:p w14:paraId="3AEAFFA1" w14:textId="0761BD30" w:rsidR="00003D01" w:rsidRDefault="00C30AEA" w:rsidP="00E37566">
      <w:pPr>
        <w:pStyle w:val="Heading1"/>
      </w:pPr>
      <w:r>
        <w:t>Principles</w:t>
      </w:r>
    </w:p>
    <w:p w14:paraId="645DA7BE" w14:textId="77777777" w:rsidR="00003D01" w:rsidRDefault="00003D01" w:rsidP="00E37566">
      <w:pPr>
        <w:spacing w:before="120"/>
        <w:ind w:left="0"/>
        <w:rPr>
          <w:rFonts w:ascii="Arial" w:hAnsi="Arial" w:cs="Arial"/>
          <w:sz w:val="22"/>
          <w:szCs w:val="22"/>
        </w:rPr>
      </w:pPr>
    </w:p>
    <w:p w14:paraId="77F8FF35" w14:textId="5310B91A" w:rsidR="00003D01" w:rsidRDefault="00C30AEA" w:rsidP="00E37566">
      <w:pPr>
        <w:spacing w:before="120"/>
        <w:ind w:left="0"/>
        <w:rPr>
          <w:rFonts w:ascii="Arial" w:hAnsi="Arial" w:cs="Arial"/>
          <w:sz w:val="22"/>
          <w:szCs w:val="22"/>
        </w:rPr>
      </w:pPr>
      <w:r>
        <w:rPr>
          <w:rFonts w:ascii="Arial" w:hAnsi="Arial" w:cs="Arial"/>
          <w:sz w:val="22"/>
          <w:szCs w:val="22"/>
        </w:rPr>
        <w:t>The FPH is a non-employer Designated Body / provider of appraisals. This means that many of the conventional ways of supporting clinical governance are not open to the FPH. The FPH seeks to maintain a triangulated knowledge of the practice of connected and associated members through a rigorous appraisal process and through self-reporting and through wider professional networks. Whilst members are, from time-to-time requested to make a Clinical Governance Declaration, the process is different from the one available to employ</w:t>
      </w:r>
      <w:r w:rsidR="009B2953">
        <w:rPr>
          <w:rFonts w:ascii="Arial" w:hAnsi="Arial" w:cs="Arial"/>
          <w:sz w:val="22"/>
          <w:szCs w:val="22"/>
        </w:rPr>
        <w:t xml:space="preserve">ing </w:t>
      </w:r>
      <w:r>
        <w:rPr>
          <w:rFonts w:ascii="Arial" w:hAnsi="Arial" w:cs="Arial"/>
          <w:sz w:val="22"/>
          <w:szCs w:val="22"/>
        </w:rPr>
        <w:t xml:space="preserve">organisations. It requires a continued discussion with these members which is founded on a supportive and trust-based relationship. </w:t>
      </w:r>
    </w:p>
    <w:p w14:paraId="266396A2" w14:textId="77777777" w:rsidR="00003D01" w:rsidRDefault="00C30AEA" w:rsidP="00E37566">
      <w:pPr>
        <w:spacing w:before="120"/>
        <w:ind w:left="0"/>
        <w:rPr>
          <w:rFonts w:ascii="Arial" w:hAnsi="Arial" w:cs="Arial"/>
          <w:sz w:val="22"/>
          <w:szCs w:val="22"/>
        </w:rPr>
      </w:pPr>
      <w:r>
        <w:rPr>
          <w:rFonts w:ascii="Arial" w:hAnsi="Arial" w:cs="Arial"/>
          <w:sz w:val="22"/>
          <w:szCs w:val="22"/>
        </w:rPr>
        <w:t>Members will be supported if they find themselves in the situation of having to express legitimate concerns about the safety of the services in which they work.</w:t>
      </w:r>
    </w:p>
    <w:p w14:paraId="55967A6D" w14:textId="59AE000E" w:rsidR="00003D01" w:rsidRDefault="00C30AEA" w:rsidP="00E37566">
      <w:pPr>
        <w:spacing w:before="120"/>
        <w:ind w:left="0"/>
        <w:rPr>
          <w:rFonts w:ascii="Arial" w:hAnsi="Arial" w:cs="Arial"/>
          <w:sz w:val="22"/>
          <w:szCs w:val="22"/>
        </w:rPr>
      </w:pPr>
      <w:r>
        <w:rPr>
          <w:rFonts w:ascii="Arial" w:hAnsi="Arial" w:cs="Arial"/>
          <w:sz w:val="22"/>
          <w:szCs w:val="22"/>
        </w:rPr>
        <w:t>The FPH will promote a process of continuous learning amongst all its members including those connected / associated for revalidation purposes. Further details are included in the FPH CPD policy. Additionally, the FPH will promote a process of continuous learning within its own internal processes.</w:t>
      </w:r>
    </w:p>
    <w:p w14:paraId="08E37C92" w14:textId="3F2BA905" w:rsidR="00003D01" w:rsidRDefault="00C30AEA" w:rsidP="00E37566">
      <w:pPr>
        <w:spacing w:before="120"/>
        <w:ind w:left="0"/>
        <w:rPr>
          <w:rFonts w:ascii="Arial" w:hAnsi="Arial" w:cs="Arial"/>
          <w:sz w:val="22"/>
          <w:szCs w:val="22"/>
        </w:rPr>
      </w:pPr>
      <w:r>
        <w:rPr>
          <w:rFonts w:ascii="Arial" w:hAnsi="Arial" w:cs="Arial"/>
          <w:sz w:val="22"/>
          <w:szCs w:val="22"/>
        </w:rPr>
        <w:lastRenderedPageBreak/>
        <w:t xml:space="preserve">This policy itself is intended to promote a continuous process of learning and improvement. This learning within the FPH will be shared with partner organisations including NHS England, the GMC and the informal group </w:t>
      </w:r>
      <w:r w:rsidR="00F6352D">
        <w:rPr>
          <w:rFonts w:ascii="Arial" w:hAnsi="Arial" w:cs="Arial"/>
          <w:sz w:val="22"/>
          <w:szCs w:val="22"/>
        </w:rPr>
        <w:t>of</w:t>
      </w:r>
      <w:r>
        <w:rPr>
          <w:rFonts w:ascii="Arial" w:hAnsi="Arial" w:cs="Arial"/>
          <w:sz w:val="22"/>
          <w:szCs w:val="22"/>
        </w:rPr>
        <w:t xml:space="preserve"> Non-Employer Responsible </w:t>
      </w:r>
      <w:r w:rsidR="00F6352D">
        <w:rPr>
          <w:rFonts w:ascii="Arial" w:hAnsi="Arial" w:cs="Arial"/>
          <w:sz w:val="22"/>
          <w:szCs w:val="22"/>
        </w:rPr>
        <w:t>O</w:t>
      </w:r>
      <w:r>
        <w:rPr>
          <w:rFonts w:ascii="Arial" w:hAnsi="Arial" w:cs="Arial"/>
          <w:sz w:val="22"/>
          <w:szCs w:val="22"/>
        </w:rPr>
        <w:t xml:space="preserve">fficer </w:t>
      </w:r>
      <w:r w:rsidR="00F6352D">
        <w:rPr>
          <w:rFonts w:ascii="Arial" w:hAnsi="Arial" w:cs="Arial"/>
          <w:sz w:val="22"/>
          <w:szCs w:val="22"/>
        </w:rPr>
        <w:t xml:space="preserve">(NERO) </w:t>
      </w:r>
      <w:r>
        <w:rPr>
          <w:rFonts w:ascii="Arial" w:hAnsi="Arial" w:cs="Arial"/>
          <w:sz w:val="22"/>
          <w:szCs w:val="22"/>
        </w:rPr>
        <w:t>group</w:t>
      </w:r>
      <w:r w:rsidR="00F6352D">
        <w:rPr>
          <w:rFonts w:ascii="Arial" w:hAnsi="Arial" w:cs="Arial"/>
          <w:sz w:val="22"/>
          <w:szCs w:val="22"/>
        </w:rPr>
        <w:t>.</w:t>
      </w:r>
    </w:p>
    <w:p w14:paraId="1A2E9FC5" w14:textId="2F6C3C2B" w:rsidR="00003D01" w:rsidRDefault="00C30AEA" w:rsidP="00E37566">
      <w:pPr>
        <w:spacing w:before="120"/>
        <w:ind w:left="0"/>
        <w:rPr>
          <w:rFonts w:ascii="Arial" w:hAnsi="Arial" w:cs="Arial"/>
          <w:sz w:val="22"/>
          <w:szCs w:val="22"/>
        </w:rPr>
      </w:pPr>
      <w:r>
        <w:rPr>
          <w:rFonts w:ascii="Arial" w:hAnsi="Arial" w:cs="Arial"/>
          <w:sz w:val="22"/>
          <w:szCs w:val="22"/>
        </w:rPr>
        <w:t>Safeguards are in place to make sure clinical governance processes for members are fair and free from discrimination and bias</w:t>
      </w:r>
      <w:r w:rsidR="00B84E22">
        <w:rPr>
          <w:rFonts w:ascii="Arial" w:hAnsi="Arial" w:cs="Arial"/>
          <w:sz w:val="22"/>
          <w:szCs w:val="22"/>
        </w:rPr>
        <w:t xml:space="preserve">, as per the </w:t>
      </w:r>
      <w:r w:rsidR="00B84E22" w:rsidRPr="00384266">
        <w:rPr>
          <w:rFonts w:ascii="Arial" w:hAnsi="Arial" w:cs="Arial"/>
          <w:sz w:val="22"/>
          <w:szCs w:val="22"/>
        </w:rPr>
        <w:t>FPH Complaints Procedure.</w:t>
      </w:r>
    </w:p>
    <w:p w14:paraId="09B3FAEC" w14:textId="7CD52FC2" w:rsidR="00003D01" w:rsidRDefault="00C30AEA" w:rsidP="00E37566">
      <w:pPr>
        <w:spacing w:before="120"/>
        <w:ind w:left="0"/>
        <w:rPr>
          <w:rFonts w:ascii="Arial" w:hAnsi="Arial" w:cs="Arial"/>
          <w:sz w:val="22"/>
          <w:szCs w:val="22"/>
        </w:rPr>
      </w:pPr>
      <w:r>
        <w:rPr>
          <w:rFonts w:ascii="Arial" w:hAnsi="Arial" w:cs="Arial"/>
          <w:sz w:val="22"/>
          <w:szCs w:val="22"/>
        </w:rPr>
        <w:t xml:space="preserve">The FPH is committed to ensuring fairness in relation to equality and diversity. The </w:t>
      </w:r>
      <w:r w:rsidR="00F6352D">
        <w:rPr>
          <w:rFonts w:ascii="Arial" w:hAnsi="Arial" w:cs="Arial"/>
          <w:sz w:val="22"/>
          <w:szCs w:val="22"/>
        </w:rPr>
        <w:t xml:space="preserve">FPH </w:t>
      </w:r>
      <w:r>
        <w:rPr>
          <w:rFonts w:ascii="Arial" w:hAnsi="Arial" w:cs="Arial"/>
          <w:sz w:val="22"/>
          <w:szCs w:val="22"/>
        </w:rPr>
        <w:t xml:space="preserve">Board policy is underpinned by ongoing work by the Workforce </w:t>
      </w:r>
      <w:r w:rsidR="00F6352D">
        <w:rPr>
          <w:rFonts w:ascii="Arial" w:hAnsi="Arial" w:cs="Arial"/>
          <w:sz w:val="22"/>
          <w:szCs w:val="22"/>
        </w:rPr>
        <w:t xml:space="preserve">Standing </w:t>
      </w:r>
      <w:r>
        <w:rPr>
          <w:rFonts w:ascii="Arial" w:hAnsi="Arial" w:cs="Arial"/>
          <w:sz w:val="22"/>
          <w:szCs w:val="22"/>
        </w:rPr>
        <w:t>Committee which includes the FPH role as a Designated Body. The reporting of activity</w:t>
      </w:r>
      <w:r w:rsidR="00F6352D">
        <w:rPr>
          <w:rFonts w:ascii="Arial" w:hAnsi="Arial" w:cs="Arial"/>
          <w:sz w:val="22"/>
          <w:szCs w:val="22"/>
        </w:rPr>
        <w:t>,</w:t>
      </w:r>
      <w:r>
        <w:rPr>
          <w:rFonts w:ascii="Arial" w:hAnsi="Arial" w:cs="Arial"/>
          <w:sz w:val="22"/>
          <w:szCs w:val="22"/>
        </w:rPr>
        <w:t xml:space="preserve"> including complaints and concerns</w:t>
      </w:r>
      <w:r w:rsidR="00F6352D">
        <w:rPr>
          <w:rFonts w:ascii="Arial" w:hAnsi="Arial" w:cs="Arial"/>
          <w:sz w:val="22"/>
          <w:szCs w:val="22"/>
        </w:rPr>
        <w:t>,</w:t>
      </w:r>
      <w:r>
        <w:rPr>
          <w:rFonts w:ascii="Arial" w:hAnsi="Arial" w:cs="Arial"/>
          <w:sz w:val="22"/>
          <w:szCs w:val="22"/>
        </w:rPr>
        <w:t xml:space="preserve"> to the Committee ensures that the actions of the RO are closely scrutinised. </w:t>
      </w:r>
    </w:p>
    <w:p w14:paraId="58ADE59B" w14:textId="57B89B97" w:rsidR="00003D01" w:rsidRDefault="00C30AEA" w:rsidP="00E37566">
      <w:pPr>
        <w:spacing w:before="120"/>
        <w:ind w:left="0"/>
        <w:rPr>
          <w:rFonts w:ascii="Arial" w:hAnsi="Arial" w:cs="Arial"/>
          <w:sz w:val="22"/>
          <w:szCs w:val="22"/>
        </w:rPr>
      </w:pPr>
      <w:r>
        <w:rPr>
          <w:rFonts w:ascii="Arial" w:hAnsi="Arial" w:cs="Arial"/>
          <w:sz w:val="22"/>
          <w:szCs w:val="22"/>
        </w:rPr>
        <w:t xml:space="preserve">The FPH will appoint a Lead Appraiser who will be responsible for ensuring that appraisers are trained and able to undertake appraisals to an </w:t>
      </w:r>
      <w:r w:rsidR="009B2953">
        <w:rPr>
          <w:rFonts w:ascii="Arial" w:hAnsi="Arial" w:cs="Arial"/>
          <w:sz w:val="22"/>
          <w:szCs w:val="22"/>
        </w:rPr>
        <w:t>appropriate</w:t>
      </w:r>
      <w:r>
        <w:rPr>
          <w:rFonts w:ascii="Arial" w:hAnsi="Arial" w:cs="Arial"/>
          <w:sz w:val="22"/>
          <w:szCs w:val="22"/>
        </w:rPr>
        <w:t xml:space="preserve"> standard. The Lead Appraiser will undertake </w:t>
      </w:r>
      <w:r w:rsidR="009B2953">
        <w:rPr>
          <w:rFonts w:ascii="Arial" w:hAnsi="Arial" w:cs="Arial"/>
          <w:sz w:val="22"/>
          <w:szCs w:val="22"/>
        </w:rPr>
        <w:t xml:space="preserve">annual </w:t>
      </w:r>
      <w:r>
        <w:rPr>
          <w:rFonts w:ascii="Arial" w:hAnsi="Arial" w:cs="Arial"/>
          <w:sz w:val="22"/>
          <w:szCs w:val="22"/>
        </w:rPr>
        <w:t>audits of the adequacy of appraisal outputs and inputs.</w:t>
      </w:r>
    </w:p>
    <w:p w14:paraId="224E5C27" w14:textId="41CEEA26" w:rsidR="00003D01" w:rsidRDefault="00C30AEA" w:rsidP="00E37566">
      <w:pPr>
        <w:spacing w:before="120"/>
        <w:ind w:left="0"/>
        <w:rPr>
          <w:rFonts w:ascii="Arial" w:hAnsi="Arial" w:cs="Arial"/>
          <w:sz w:val="22"/>
          <w:szCs w:val="22"/>
        </w:rPr>
      </w:pPr>
      <w:r>
        <w:rPr>
          <w:rFonts w:ascii="Arial" w:hAnsi="Arial" w:cs="Arial"/>
          <w:sz w:val="22"/>
          <w:szCs w:val="22"/>
        </w:rPr>
        <w:t xml:space="preserve">The FPH will </w:t>
      </w:r>
      <w:r w:rsidR="009B2953">
        <w:rPr>
          <w:rFonts w:ascii="Arial" w:hAnsi="Arial" w:cs="Arial"/>
          <w:sz w:val="22"/>
          <w:szCs w:val="22"/>
        </w:rPr>
        <w:t>require that</w:t>
      </w:r>
      <w:r>
        <w:rPr>
          <w:rFonts w:ascii="Arial" w:hAnsi="Arial" w:cs="Arial"/>
          <w:sz w:val="22"/>
          <w:szCs w:val="22"/>
        </w:rPr>
        <w:t xml:space="preserve"> appraisals </w:t>
      </w:r>
      <w:r w:rsidR="009B2953">
        <w:rPr>
          <w:rFonts w:ascii="Arial" w:hAnsi="Arial" w:cs="Arial"/>
          <w:sz w:val="22"/>
          <w:szCs w:val="22"/>
        </w:rPr>
        <w:t xml:space="preserve">cover the full scope of practice, </w:t>
      </w:r>
      <w:r>
        <w:rPr>
          <w:rFonts w:ascii="Arial" w:hAnsi="Arial" w:cs="Arial"/>
          <w:sz w:val="22"/>
          <w:szCs w:val="22"/>
        </w:rPr>
        <w:t>includ</w:t>
      </w:r>
      <w:r w:rsidR="009B2953">
        <w:rPr>
          <w:rFonts w:ascii="Arial" w:hAnsi="Arial" w:cs="Arial"/>
          <w:sz w:val="22"/>
          <w:szCs w:val="22"/>
        </w:rPr>
        <w:t>ing</w:t>
      </w:r>
      <w:r>
        <w:rPr>
          <w:rFonts w:ascii="Arial" w:hAnsi="Arial" w:cs="Arial"/>
          <w:sz w:val="22"/>
          <w:szCs w:val="22"/>
        </w:rPr>
        <w:t xml:space="preserve"> </w:t>
      </w:r>
      <w:r w:rsidR="00F6352D">
        <w:rPr>
          <w:rFonts w:ascii="Arial" w:hAnsi="Arial" w:cs="Arial"/>
          <w:sz w:val="22"/>
          <w:szCs w:val="22"/>
        </w:rPr>
        <w:t xml:space="preserve">all </w:t>
      </w:r>
      <w:r>
        <w:rPr>
          <w:rFonts w:ascii="Arial" w:hAnsi="Arial" w:cs="Arial"/>
          <w:sz w:val="22"/>
          <w:szCs w:val="22"/>
        </w:rPr>
        <w:t>supporting information</w:t>
      </w:r>
      <w:r w:rsidR="009B2953">
        <w:rPr>
          <w:rFonts w:ascii="Arial" w:hAnsi="Arial" w:cs="Arial"/>
          <w:sz w:val="22"/>
          <w:szCs w:val="22"/>
        </w:rPr>
        <w:t xml:space="preserve"> provided.</w:t>
      </w:r>
      <w:r>
        <w:rPr>
          <w:rFonts w:ascii="Arial" w:hAnsi="Arial" w:cs="Arial"/>
          <w:sz w:val="22"/>
          <w:szCs w:val="22"/>
        </w:rPr>
        <w:t xml:space="preserve"> </w:t>
      </w:r>
    </w:p>
    <w:p w14:paraId="33320CC6" w14:textId="1440F264" w:rsidR="00003D01" w:rsidRDefault="00C30AEA" w:rsidP="00E37566">
      <w:pPr>
        <w:spacing w:before="120"/>
        <w:ind w:left="0"/>
        <w:rPr>
          <w:rFonts w:ascii="Arial" w:hAnsi="Arial" w:cs="Arial"/>
          <w:sz w:val="22"/>
          <w:szCs w:val="22"/>
        </w:rPr>
      </w:pPr>
      <w:r>
        <w:rPr>
          <w:rFonts w:ascii="Arial" w:hAnsi="Arial" w:cs="Arial"/>
          <w:sz w:val="22"/>
          <w:szCs w:val="22"/>
        </w:rPr>
        <w:t>The FPH will ensure that</w:t>
      </w:r>
      <w:r w:rsidR="00F6352D">
        <w:rPr>
          <w:rFonts w:ascii="Arial" w:hAnsi="Arial" w:cs="Arial"/>
          <w:sz w:val="22"/>
          <w:szCs w:val="22"/>
        </w:rPr>
        <w:t xml:space="preserve"> the Medical Practice Information Transfer (MPIT) Form is </w:t>
      </w:r>
      <w:r w:rsidR="000B5D7F">
        <w:rPr>
          <w:rFonts w:ascii="Arial" w:hAnsi="Arial" w:cs="Arial"/>
          <w:sz w:val="22"/>
          <w:szCs w:val="22"/>
        </w:rPr>
        <w:t>demanded</w:t>
      </w:r>
      <w:r w:rsidR="00F6352D">
        <w:rPr>
          <w:rFonts w:ascii="Arial" w:hAnsi="Arial" w:cs="Arial"/>
          <w:sz w:val="22"/>
          <w:szCs w:val="22"/>
        </w:rPr>
        <w:t xml:space="preserve"> from a member’s previous Designated Body upon registration with the FPH</w:t>
      </w:r>
      <w:r w:rsidR="000B5D7F">
        <w:rPr>
          <w:rFonts w:ascii="Arial" w:hAnsi="Arial" w:cs="Arial"/>
          <w:sz w:val="22"/>
          <w:szCs w:val="22"/>
        </w:rPr>
        <w:t xml:space="preserve">. The MPIT Form will be made available should </w:t>
      </w:r>
      <w:r w:rsidR="00F6352D">
        <w:rPr>
          <w:rFonts w:ascii="Arial" w:hAnsi="Arial" w:cs="Arial"/>
          <w:sz w:val="22"/>
          <w:szCs w:val="22"/>
        </w:rPr>
        <w:t>a member’s successor Designated Body</w:t>
      </w:r>
      <w:r w:rsidR="000B5D7F">
        <w:rPr>
          <w:rFonts w:ascii="Arial" w:hAnsi="Arial" w:cs="Arial"/>
          <w:sz w:val="22"/>
          <w:szCs w:val="22"/>
        </w:rPr>
        <w:t xml:space="preserve"> request it</w:t>
      </w:r>
      <w:r w:rsidR="00F6352D">
        <w:rPr>
          <w:rFonts w:ascii="Arial" w:hAnsi="Arial" w:cs="Arial"/>
          <w:sz w:val="22"/>
          <w:szCs w:val="22"/>
        </w:rPr>
        <w:t xml:space="preserve">. </w:t>
      </w:r>
    </w:p>
    <w:p w14:paraId="2220E225" w14:textId="1CB76639" w:rsidR="00003D01" w:rsidRDefault="00C30AEA" w:rsidP="00E37566">
      <w:pPr>
        <w:spacing w:before="120"/>
        <w:ind w:left="0"/>
      </w:pPr>
      <w:r>
        <w:rPr>
          <w:rFonts w:ascii="Arial" w:hAnsi="Arial" w:cs="Arial"/>
          <w:sz w:val="22"/>
          <w:szCs w:val="22"/>
        </w:rPr>
        <w:t>The FPH has a responding to concerns</w:t>
      </w:r>
      <w:r w:rsidR="000B5D7F">
        <w:rPr>
          <w:rFonts w:ascii="Arial" w:hAnsi="Arial" w:cs="Arial"/>
          <w:sz w:val="22"/>
          <w:szCs w:val="22"/>
        </w:rPr>
        <w:t xml:space="preserve"> procedure to e</w:t>
      </w:r>
      <w:r>
        <w:rPr>
          <w:rFonts w:ascii="Arial" w:hAnsi="Arial" w:cs="Arial"/>
          <w:sz w:val="22"/>
          <w:szCs w:val="22"/>
        </w:rPr>
        <w:t>nsure that the RO is supported in taking appropriate action if there are serious concerns about the safety of a member’s practice.</w:t>
      </w:r>
    </w:p>
    <w:p w14:paraId="62907397" w14:textId="77777777" w:rsidR="00003D01" w:rsidRDefault="00C30AEA" w:rsidP="00E37566">
      <w:pPr>
        <w:pStyle w:val="Heading1"/>
      </w:pPr>
      <w:r>
        <w:t>Revalidation Management System</w:t>
      </w:r>
    </w:p>
    <w:p w14:paraId="6E0FFDCC" w14:textId="2AF49DFF" w:rsidR="003D3F59" w:rsidRPr="003D3F59" w:rsidRDefault="003D3F59" w:rsidP="00E37566">
      <w:pPr>
        <w:spacing w:before="120"/>
        <w:ind w:left="0"/>
        <w:rPr>
          <w:rFonts w:ascii="Arial" w:hAnsi="Arial" w:cs="Arial"/>
          <w:sz w:val="22"/>
          <w:szCs w:val="22"/>
        </w:rPr>
      </w:pPr>
      <w:r w:rsidRPr="003D3F59">
        <w:rPr>
          <w:rFonts w:ascii="Arial" w:hAnsi="Arial" w:cs="Arial"/>
          <w:sz w:val="22"/>
          <w:szCs w:val="22"/>
        </w:rPr>
        <w:t xml:space="preserve">FPH will provide members with a prescribed connection to FPH with access to L2P, a Revalidation Management System (RMS), to securely share appraisal documentation and store appraisal summaries and supporting information. </w:t>
      </w:r>
    </w:p>
    <w:p w14:paraId="13101D77" w14:textId="7BFE548A" w:rsidR="00003D01" w:rsidRPr="003D3F59" w:rsidRDefault="003D3F59" w:rsidP="00E37566">
      <w:pPr>
        <w:spacing w:before="120"/>
        <w:ind w:left="0"/>
        <w:rPr>
          <w:rFonts w:ascii="Arial" w:hAnsi="Arial" w:cs="Arial"/>
          <w:sz w:val="22"/>
          <w:szCs w:val="22"/>
        </w:rPr>
      </w:pPr>
      <w:r w:rsidRPr="003D3F59">
        <w:rPr>
          <w:rFonts w:ascii="Arial" w:hAnsi="Arial" w:cs="Arial"/>
          <w:sz w:val="22"/>
          <w:szCs w:val="22"/>
        </w:rPr>
        <w:t xml:space="preserve">The RMS also </w:t>
      </w:r>
      <w:r w:rsidR="00C30AEA" w:rsidRPr="003D3F59">
        <w:rPr>
          <w:rFonts w:ascii="Arial" w:hAnsi="Arial" w:cs="Arial"/>
          <w:sz w:val="22"/>
          <w:szCs w:val="22"/>
        </w:rPr>
        <w:t>ensure</w:t>
      </w:r>
      <w:r w:rsidRPr="003D3F59">
        <w:rPr>
          <w:rFonts w:ascii="Arial" w:hAnsi="Arial" w:cs="Arial"/>
          <w:sz w:val="22"/>
          <w:szCs w:val="22"/>
        </w:rPr>
        <w:t>s</w:t>
      </w:r>
      <w:r w:rsidR="00C30AEA" w:rsidRPr="003D3F59">
        <w:rPr>
          <w:rFonts w:ascii="Arial" w:hAnsi="Arial" w:cs="Arial"/>
          <w:sz w:val="22"/>
          <w:szCs w:val="22"/>
        </w:rPr>
        <w:t xml:space="preserve"> that members undergo appraisal at the appropriate time and maintain a high standard of information governance.</w:t>
      </w:r>
    </w:p>
    <w:p w14:paraId="66FE1DBA" w14:textId="5F766F8B" w:rsidR="003D3F59" w:rsidRPr="003D3F59" w:rsidRDefault="003D3F59" w:rsidP="00E37566">
      <w:pPr>
        <w:spacing w:before="120"/>
        <w:ind w:left="0"/>
        <w:rPr>
          <w:rFonts w:ascii="Arial" w:hAnsi="Arial" w:cs="Arial"/>
          <w:sz w:val="22"/>
          <w:szCs w:val="22"/>
        </w:rPr>
      </w:pPr>
      <w:r w:rsidRPr="003D3F59">
        <w:rPr>
          <w:rFonts w:ascii="Arial" w:hAnsi="Arial" w:cs="Arial"/>
          <w:sz w:val="22"/>
          <w:szCs w:val="22"/>
        </w:rPr>
        <w:t>A members appraisal documentation can be accessed by the RO, the Lead Appraiser and the FPH Revalidation Team. All information disclosed as part of appraisal and revalidation is personal data or sensitive personal data and will be used by the RO and FPH only for purposes related to revalidation.</w:t>
      </w:r>
    </w:p>
    <w:p w14:paraId="6C47185F" w14:textId="77777777" w:rsidR="00003D01" w:rsidRDefault="00C30AEA" w:rsidP="00E37566">
      <w:pPr>
        <w:pStyle w:val="Heading1"/>
      </w:pPr>
      <w:r>
        <w:t>Clinical Governance Data</w:t>
      </w:r>
    </w:p>
    <w:p w14:paraId="7E7EF2EA" w14:textId="13F70391" w:rsidR="00003D01" w:rsidRDefault="003D3F59" w:rsidP="00E37566">
      <w:pPr>
        <w:spacing w:before="120"/>
        <w:ind w:left="0"/>
        <w:rPr>
          <w:rFonts w:ascii="Arial" w:hAnsi="Arial" w:cs="Arial"/>
          <w:sz w:val="22"/>
          <w:szCs w:val="22"/>
        </w:rPr>
      </w:pPr>
      <w:r>
        <w:rPr>
          <w:rFonts w:ascii="Arial" w:hAnsi="Arial" w:cs="Arial"/>
          <w:sz w:val="22"/>
          <w:szCs w:val="22"/>
        </w:rPr>
        <w:t xml:space="preserve">All members connected to FPH for revalidation are not employed by FPH </w:t>
      </w:r>
      <w:r w:rsidR="00C30AEA">
        <w:rPr>
          <w:rFonts w:ascii="Arial" w:hAnsi="Arial" w:cs="Arial"/>
          <w:sz w:val="22"/>
          <w:szCs w:val="22"/>
        </w:rPr>
        <w:t xml:space="preserve">and therefore the </w:t>
      </w:r>
      <w:r>
        <w:rPr>
          <w:rFonts w:ascii="Arial" w:hAnsi="Arial" w:cs="Arial"/>
          <w:sz w:val="22"/>
          <w:szCs w:val="22"/>
        </w:rPr>
        <w:t>RO</w:t>
      </w:r>
      <w:r w:rsidR="00C30AEA">
        <w:rPr>
          <w:rFonts w:ascii="Arial" w:hAnsi="Arial" w:cs="Arial"/>
          <w:sz w:val="22"/>
          <w:szCs w:val="22"/>
        </w:rPr>
        <w:t xml:space="preserve"> only has access to limited clinical governance information. </w:t>
      </w:r>
      <w:r>
        <w:rPr>
          <w:rFonts w:ascii="Arial" w:hAnsi="Arial" w:cs="Arial"/>
          <w:sz w:val="22"/>
          <w:szCs w:val="22"/>
        </w:rPr>
        <w:t>To</w:t>
      </w:r>
      <w:r w:rsidR="00C30AEA">
        <w:rPr>
          <w:rFonts w:ascii="Arial" w:hAnsi="Arial" w:cs="Arial"/>
          <w:sz w:val="22"/>
          <w:szCs w:val="22"/>
        </w:rPr>
        <w:t xml:space="preserve"> address this issue, the </w:t>
      </w:r>
      <w:r>
        <w:rPr>
          <w:rFonts w:ascii="Arial" w:hAnsi="Arial" w:cs="Arial"/>
          <w:sz w:val="22"/>
          <w:szCs w:val="22"/>
        </w:rPr>
        <w:t xml:space="preserve">FPH requires connected members to sign a Clinical Governance Declaration. The form </w:t>
      </w:r>
      <w:r w:rsidR="00C30AEA">
        <w:rPr>
          <w:rFonts w:ascii="Arial" w:hAnsi="Arial" w:cs="Arial"/>
          <w:sz w:val="22"/>
          <w:szCs w:val="22"/>
        </w:rPr>
        <w:t>confirms that the member is not subject to certain procedures that may indicate a fitness to practice issue.</w:t>
      </w:r>
      <w:r>
        <w:rPr>
          <w:rFonts w:ascii="Arial" w:hAnsi="Arial" w:cs="Arial"/>
          <w:sz w:val="22"/>
          <w:szCs w:val="22"/>
        </w:rPr>
        <w:t xml:space="preserve"> The FPH will request the form </w:t>
      </w:r>
      <w:r w:rsidR="00231CCA">
        <w:rPr>
          <w:rFonts w:ascii="Arial" w:hAnsi="Arial" w:cs="Arial"/>
          <w:sz w:val="22"/>
          <w:szCs w:val="22"/>
        </w:rPr>
        <w:t xml:space="preserve">upon registration to </w:t>
      </w:r>
      <w:r>
        <w:rPr>
          <w:rFonts w:ascii="Arial" w:hAnsi="Arial" w:cs="Arial"/>
          <w:sz w:val="22"/>
          <w:szCs w:val="22"/>
        </w:rPr>
        <w:t>the revalidation service, and at each appraisal</w:t>
      </w:r>
      <w:r w:rsidR="00231CCA">
        <w:rPr>
          <w:rFonts w:ascii="Arial" w:hAnsi="Arial" w:cs="Arial"/>
          <w:sz w:val="22"/>
          <w:szCs w:val="22"/>
        </w:rPr>
        <w:t xml:space="preserve"> thereafter</w:t>
      </w:r>
      <w:r>
        <w:rPr>
          <w:rFonts w:ascii="Arial" w:hAnsi="Arial" w:cs="Arial"/>
          <w:sz w:val="22"/>
          <w:szCs w:val="22"/>
        </w:rPr>
        <w:t>.</w:t>
      </w:r>
    </w:p>
    <w:p w14:paraId="6739E554" w14:textId="0DA8EA17" w:rsidR="00003D01" w:rsidRDefault="00C30AEA" w:rsidP="00E37566">
      <w:pPr>
        <w:spacing w:before="120"/>
        <w:ind w:left="0"/>
        <w:rPr>
          <w:rFonts w:ascii="Arial" w:hAnsi="Arial" w:cs="Arial"/>
          <w:sz w:val="22"/>
          <w:szCs w:val="22"/>
        </w:rPr>
      </w:pPr>
      <w:r w:rsidRPr="00384266">
        <w:rPr>
          <w:rFonts w:ascii="Arial" w:hAnsi="Arial" w:cs="Arial"/>
          <w:sz w:val="22"/>
          <w:szCs w:val="22"/>
        </w:rPr>
        <w:t>As such,</w:t>
      </w:r>
      <w:r w:rsidR="00231CCA" w:rsidRPr="00384266">
        <w:rPr>
          <w:rFonts w:ascii="Arial" w:hAnsi="Arial" w:cs="Arial"/>
          <w:sz w:val="22"/>
          <w:szCs w:val="22"/>
        </w:rPr>
        <w:t xml:space="preserve"> FPH monitors the quality of individual performance, as well as team performance,</w:t>
      </w:r>
      <w:r w:rsidRPr="00384266">
        <w:rPr>
          <w:rFonts w:ascii="Arial" w:hAnsi="Arial" w:cs="Arial"/>
          <w:sz w:val="22"/>
          <w:szCs w:val="22"/>
        </w:rPr>
        <w:t xml:space="preserve"> through the evidence presented at annual </w:t>
      </w:r>
      <w:proofErr w:type="gramStart"/>
      <w:r w:rsidRPr="00384266">
        <w:rPr>
          <w:rFonts w:ascii="Arial" w:hAnsi="Arial" w:cs="Arial"/>
          <w:sz w:val="22"/>
          <w:szCs w:val="22"/>
        </w:rPr>
        <w:t>appraisal, and</w:t>
      </w:r>
      <w:proofErr w:type="gramEnd"/>
      <w:r w:rsidRPr="00384266">
        <w:rPr>
          <w:rFonts w:ascii="Arial" w:hAnsi="Arial" w:cs="Arial"/>
          <w:sz w:val="22"/>
          <w:szCs w:val="22"/>
        </w:rPr>
        <w:t xml:space="preserve"> respon</w:t>
      </w:r>
      <w:r w:rsidR="00231CCA" w:rsidRPr="00384266">
        <w:rPr>
          <w:rFonts w:ascii="Arial" w:hAnsi="Arial" w:cs="Arial"/>
          <w:sz w:val="22"/>
          <w:szCs w:val="22"/>
        </w:rPr>
        <w:t>ds</w:t>
      </w:r>
      <w:r w:rsidRPr="00384266">
        <w:rPr>
          <w:rFonts w:ascii="Arial" w:hAnsi="Arial" w:cs="Arial"/>
          <w:sz w:val="22"/>
          <w:szCs w:val="22"/>
        </w:rPr>
        <w:t xml:space="preserve"> directly </w:t>
      </w:r>
      <w:r w:rsidR="00231CCA" w:rsidRPr="00384266">
        <w:rPr>
          <w:rFonts w:ascii="Arial" w:hAnsi="Arial" w:cs="Arial"/>
          <w:sz w:val="22"/>
          <w:szCs w:val="22"/>
        </w:rPr>
        <w:t>to</w:t>
      </w:r>
      <w:r w:rsidRPr="00384266">
        <w:rPr>
          <w:rFonts w:ascii="Arial" w:hAnsi="Arial" w:cs="Arial"/>
          <w:sz w:val="22"/>
          <w:szCs w:val="22"/>
        </w:rPr>
        <w:t xml:space="preserve"> complaints.</w:t>
      </w:r>
      <w:r>
        <w:rPr>
          <w:rFonts w:ascii="Arial" w:hAnsi="Arial" w:cs="Arial"/>
          <w:sz w:val="22"/>
          <w:szCs w:val="22"/>
        </w:rPr>
        <w:t xml:space="preserve"> </w:t>
      </w:r>
    </w:p>
    <w:p w14:paraId="331FBE21" w14:textId="656F04C6" w:rsidR="00003D01" w:rsidRDefault="00C30AEA" w:rsidP="00E37566">
      <w:pPr>
        <w:spacing w:before="120"/>
        <w:ind w:left="0"/>
        <w:rPr>
          <w:rFonts w:ascii="Arial" w:hAnsi="Arial" w:cs="Arial"/>
          <w:sz w:val="22"/>
          <w:szCs w:val="22"/>
        </w:rPr>
      </w:pPr>
      <w:r>
        <w:rPr>
          <w:rFonts w:ascii="Arial" w:hAnsi="Arial" w:cs="Arial"/>
          <w:sz w:val="22"/>
          <w:szCs w:val="22"/>
        </w:rPr>
        <w:t>FPH routinely monitors</w:t>
      </w:r>
      <w:r w:rsidR="00231CCA">
        <w:rPr>
          <w:rFonts w:ascii="Arial" w:hAnsi="Arial" w:cs="Arial"/>
          <w:sz w:val="22"/>
          <w:szCs w:val="22"/>
        </w:rPr>
        <w:t xml:space="preserve"> and reviews</w:t>
      </w:r>
      <w:r>
        <w:rPr>
          <w:rFonts w:ascii="Arial" w:hAnsi="Arial" w:cs="Arial"/>
          <w:sz w:val="22"/>
          <w:szCs w:val="22"/>
        </w:rPr>
        <w:t xml:space="preserve"> the GMC’s </w:t>
      </w:r>
      <w:r w:rsidR="00231CCA">
        <w:rPr>
          <w:rFonts w:ascii="Arial" w:hAnsi="Arial" w:cs="Arial"/>
          <w:sz w:val="22"/>
          <w:szCs w:val="22"/>
        </w:rPr>
        <w:t xml:space="preserve">monthly </w:t>
      </w:r>
      <w:r>
        <w:rPr>
          <w:rFonts w:ascii="Arial" w:hAnsi="Arial" w:cs="Arial"/>
          <w:sz w:val="22"/>
          <w:szCs w:val="22"/>
        </w:rPr>
        <w:t>decision</w:t>
      </w:r>
      <w:r w:rsidR="00231CCA">
        <w:rPr>
          <w:rFonts w:ascii="Arial" w:hAnsi="Arial" w:cs="Arial"/>
          <w:sz w:val="22"/>
          <w:szCs w:val="22"/>
        </w:rPr>
        <w:t xml:space="preserve">s </w:t>
      </w:r>
      <w:r>
        <w:rPr>
          <w:rFonts w:ascii="Arial" w:hAnsi="Arial" w:cs="Arial"/>
          <w:sz w:val="22"/>
          <w:szCs w:val="22"/>
        </w:rPr>
        <w:t xml:space="preserve">circular which contains details of all </w:t>
      </w:r>
      <w:r w:rsidR="00231CCA">
        <w:rPr>
          <w:rFonts w:ascii="Arial" w:hAnsi="Arial" w:cs="Arial"/>
          <w:sz w:val="22"/>
          <w:szCs w:val="22"/>
        </w:rPr>
        <w:t>fitness to practice actions taken in respect of UK registered doctors.</w:t>
      </w:r>
    </w:p>
    <w:p w14:paraId="63CDC011" w14:textId="287EE448" w:rsidR="00003D01" w:rsidRDefault="00231CCA" w:rsidP="00E37566">
      <w:pPr>
        <w:pStyle w:val="Heading1"/>
      </w:pPr>
      <w:r>
        <w:t>Oversight and scrutiny</w:t>
      </w:r>
    </w:p>
    <w:p w14:paraId="674E4256" w14:textId="45CA98C5" w:rsidR="00003D01" w:rsidRDefault="00C30AEA" w:rsidP="00E37566">
      <w:pPr>
        <w:spacing w:before="120"/>
        <w:ind w:left="0"/>
        <w:rPr>
          <w:rFonts w:ascii="Arial" w:hAnsi="Arial" w:cs="Arial"/>
          <w:sz w:val="22"/>
          <w:szCs w:val="22"/>
        </w:rPr>
      </w:pPr>
      <w:r w:rsidRPr="00384266">
        <w:rPr>
          <w:rFonts w:ascii="Arial" w:hAnsi="Arial" w:cs="Arial"/>
          <w:sz w:val="22"/>
          <w:szCs w:val="22"/>
        </w:rPr>
        <w:t xml:space="preserve">The Board of FPH is </w:t>
      </w:r>
      <w:r w:rsidR="00090B28" w:rsidRPr="00384266">
        <w:rPr>
          <w:rFonts w:ascii="Arial" w:hAnsi="Arial" w:cs="Arial"/>
          <w:sz w:val="22"/>
          <w:szCs w:val="22"/>
        </w:rPr>
        <w:t>liable</w:t>
      </w:r>
      <w:r w:rsidRPr="00384266">
        <w:rPr>
          <w:rFonts w:ascii="Arial" w:hAnsi="Arial" w:cs="Arial"/>
          <w:sz w:val="22"/>
          <w:szCs w:val="22"/>
        </w:rPr>
        <w:t xml:space="preserve"> for </w:t>
      </w:r>
      <w:r w:rsidR="00231CCA" w:rsidRPr="00384266">
        <w:rPr>
          <w:rFonts w:ascii="Arial" w:hAnsi="Arial" w:cs="Arial"/>
          <w:sz w:val="22"/>
          <w:szCs w:val="22"/>
        </w:rPr>
        <w:t xml:space="preserve">ensuring a </w:t>
      </w:r>
      <w:r w:rsidRPr="00384266">
        <w:rPr>
          <w:rFonts w:ascii="Arial" w:hAnsi="Arial" w:cs="Arial"/>
          <w:sz w:val="22"/>
          <w:szCs w:val="22"/>
        </w:rPr>
        <w:t>clinical governance</w:t>
      </w:r>
      <w:r w:rsidR="00231CCA" w:rsidRPr="00384266">
        <w:rPr>
          <w:rFonts w:ascii="Arial" w:hAnsi="Arial" w:cs="Arial"/>
          <w:sz w:val="22"/>
          <w:szCs w:val="22"/>
        </w:rPr>
        <w:t xml:space="preserve"> procedure is in place</w:t>
      </w:r>
      <w:r w:rsidR="00090B28" w:rsidRPr="00384266">
        <w:rPr>
          <w:rFonts w:ascii="Arial" w:hAnsi="Arial" w:cs="Arial"/>
          <w:sz w:val="22"/>
          <w:szCs w:val="22"/>
        </w:rPr>
        <w:t xml:space="preserve"> to protect the role and responsibilities of FPH as a non-employing Designated Body</w:t>
      </w:r>
      <w:r w:rsidRPr="00384266">
        <w:rPr>
          <w:rFonts w:ascii="Arial" w:hAnsi="Arial" w:cs="Arial"/>
          <w:sz w:val="22"/>
          <w:szCs w:val="22"/>
        </w:rPr>
        <w:t>.</w:t>
      </w:r>
      <w:r>
        <w:rPr>
          <w:rFonts w:ascii="Arial" w:hAnsi="Arial" w:cs="Arial"/>
          <w:sz w:val="22"/>
          <w:szCs w:val="22"/>
        </w:rPr>
        <w:t xml:space="preserve"> Oversight and scrutiny </w:t>
      </w:r>
      <w:proofErr w:type="gramStart"/>
      <w:r>
        <w:rPr>
          <w:rFonts w:ascii="Arial" w:hAnsi="Arial" w:cs="Arial"/>
          <w:sz w:val="22"/>
          <w:szCs w:val="22"/>
        </w:rPr>
        <w:t>is</w:t>
      </w:r>
      <w:proofErr w:type="gramEnd"/>
      <w:r>
        <w:rPr>
          <w:rFonts w:ascii="Arial" w:hAnsi="Arial" w:cs="Arial"/>
          <w:sz w:val="22"/>
          <w:szCs w:val="22"/>
        </w:rPr>
        <w:t xml:space="preserve"> undertaken by the Workforce </w:t>
      </w:r>
      <w:r w:rsidR="00231CCA">
        <w:rPr>
          <w:rFonts w:ascii="Arial" w:hAnsi="Arial" w:cs="Arial"/>
          <w:sz w:val="22"/>
          <w:szCs w:val="22"/>
        </w:rPr>
        <w:t xml:space="preserve">Standing </w:t>
      </w:r>
      <w:r>
        <w:rPr>
          <w:rFonts w:ascii="Arial" w:hAnsi="Arial" w:cs="Arial"/>
          <w:sz w:val="22"/>
          <w:szCs w:val="22"/>
        </w:rPr>
        <w:t>Committee</w:t>
      </w:r>
      <w:r w:rsidR="00231CCA">
        <w:rPr>
          <w:rFonts w:ascii="Arial" w:hAnsi="Arial" w:cs="Arial"/>
          <w:sz w:val="22"/>
          <w:szCs w:val="22"/>
        </w:rPr>
        <w:t>,</w:t>
      </w:r>
      <w:r>
        <w:rPr>
          <w:rFonts w:ascii="Arial" w:hAnsi="Arial" w:cs="Arial"/>
          <w:sz w:val="22"/>
          <w:szCs w:val="22"/>
        </w:rPr>
        <w:t xml:space="preserve"> which reports </w:t>
      </w:r>
      <w:r w:rsidR="00090B28">
        <w:rPr>
          <w:rFonts w:ascii="Arial" w:hAnsi="Arial" w:cs="Arial"/>
          <w:sz w:val="22"/>
          <w:szCs w:val="22"/>
        </w:rPr>
        <w:t xml:space="preserve">directly </w:t>
      </w:r>
      <w:r>
        <w:rPr>
          <w:rFonts w:ascii="Arial" w:hAnsi="Arial" w:cs="Arial"/>
          <w:sz w:val="22"/>
          <w:szCs w:val="22"/>
        </w:rPr>
        <w:t xml:space="preserve">to the Board. One of the </w:t>
      </w:r>
      <w:r w:rsidR="00090B28">
        <w:rPr>
          <w:rFonts w:ascii="Arial" w:hAnsi="Arial" w:cs="Arial"/>
          <w:sz w:val="22"/>
          <w:szCs w:val="22"/>
        </w:rPr>
        <w:t>L</w:t>
      </w:r>
      <w:r>
        <w:rPr>
          <w:rFonts w:ascii="Arial" w:hAnsi="Arial" w:cs="Arial"/>
          <w:sz w:val="22"/>
          <w:szCs w:val="22"/>
        </w:rPr>
        <w:t>ay Board members is tasked with overseeing the governance arrangements in relation to the Designated Body and revalidation roles of the FPH. They are supported in this role by the Registrar and the Responsible Officer.</w:t>
      </w:r>
    </w:p>
    <w:p w14:paraId="4053C83D" w14:textId="1EC80F68" w:rsidR="00003D01" w:rsidRDefault="00C30AEA" w:rsidP="00E37566">
      <w:pPr>
        <w:spacing w:before="120"/>
        <w:ind w:left="0"/>
        <w:rPr>
          <w:rFonts w:ascii="Arial" w:hAnsi="Arial" w:cs="Arial"/>
          <w:sz w:val="22"/>
          <w:szCs w:val="22"/>
        </w:rPr>
      </w:pPr>
      <w:r>
        <w:rPr>
          <w:rFonts w:ascii="Arial" w:hAnsi="Arial" w:cs="Arial"/>
          <w:sz w:val="22"/>
          <w:szCs w:val="22"/>
        </w:rPr>
        <w:lastRenderedPageBreak/>
        <w:t xml:space="preserve">The Governance of the FPH </w:t>
      </w:r>
      <w:r w:rsidR="00090B28">
        <w:rPr>
          <w:rFonts w:ascii="Arial" w:hAnsi="Arial" w:cs="Arial"/>
          <w:sz w:val="22"/>
          <w:szCs w:val="22"/>
        </w:rPr>
        <w:t xml:space="preserve">as a </w:t>
      </w:r>
      <w:r>
        <w:rPr>
          <w:rFonts w:ascii="Arial" w:hAnsi="Arial" w:cs="Arial"/>
          <w:sz w:val="22"/>
          <w:szCs w:val="22"/>
        </w:rPr>
        <w:t xml:space="preserve">Designated Body is scrutinised through a process of regular reporting to the Workforce </w:t>
      </w:r>
      <w:r w:rsidR="00090B28">
        <w:rPr>
          <w:rFonts w:ascii="Arial" w:hAnsi="Arial" w:cs="Arial"/>
          <w:sz w:val="22"/>
          <w:szCs w:val="22"/>
        </w:rPr>
        <w:t xml:space="preserve">Standing </w:t>
      </w:r>
      <w:r>
        <w:rPr>
          <w:rFonts w:ascii="Arial" w:hAnsi="Arial" w:cs="Arial"/>
          <w:sz w:val="22"/>
          <w:szCs w:val="22"/>
        </w:rPr>
        <w:t xml:space="preserve">Committee, quarterly reporting to NHS England and ongoing monitoring through </w:t>
      </w:r>
      <w:r w:rsidR="00090B28">
        <w:rPr>
          <w:rFonts w:ascii="Arial" w:hAnsi="Arial" w:cs="Arial"/>
          <w:sz w:val="22"/>
          <w:szCs w:val="22"/>
        </w:rPr>
        <w:t xml:space="preserve">a </w:t>
      </w:r>
      <w:r>
        <w:rPr>
          <w:rFonts w:ascii="Arial" w:hAnsi="Arial" w:cs="Arial"/>
          <w:sz w:val="22"/>
          <w:szCs w:val="22"/>
        </w:rPr>
        <w:t>Lay Members of the FPH Board being tasked to scrutinise the appraisal and revalidation s</w:t>
      </w:r>
      <w:r w:rsidR="00090B28">
        <w:rPr>
          <w:rFonts w:ascii="Arial" w:hAnsi="Arial" w:cs="Arial"/>
          <w:sz w:val="22"/>
          <w:szCs w:val="22"/>
        </w:rPr>
        <w:t>ervice</w:t>
      </w:r>
      <w:r>
        <w:rPr>
          <w:rFonts w:ascii="Arial" w:hAnsi="Arial" w:cs="Arial"/>
          <w:sz w:val="22"/>
          <w:szCs w:val="22"/>
        </w:rPr>
        <w:t>.</w:t>
      </w:r>
    </w:p>
    <w:p w14:paraId="6935B4AF" w14:textId="01165959" w:rsidR="00003D01" w:rsidRDefault="00090B28" w:rsidP="00E37566">
      <w:pPr>
        <w:spacing w:before="120"/>
        <w:ind w:left="0"/>
        <w:rPr>
          <w:rFonts w:ascii="Arial" w:hAnsi="Arial" w:cs="Arial"/>
          <w:sz w:val="22"/>
          <w:szCs w:val="22"/>
        </w:rPr>
      </w:pPr>
      <w:r>
        <w:rPr>
          <w:rFonts w:ascii="Arial" w:hAnsi="Arial" w:cs="Arial"/>
          <w:sz w:val="22"/>
          <w:szCs w:val="22"/>
        </w:rPr>
        <w:t>To</w:t>
      </w:r>
      <w:r w:rsidR="00C30AEA">
        <w:rPr>
          <w:rFonts w:ascii="Arial" w:hAnsi="Arial" w:cs="Arial"/>
          <w:sz w:val="22"/>
          <w:szCs w:val="22"/>
        </w:rPr>
        <w:t xml:space="preserve"> meet its duties as a Designated Body the FPH will appoint a Responsible Officer</w:t>
      </w:r>
      <w:r>
        <w:rPr>
          <w:rFonts w:ascii="Arial" w:hAnsi="Arial" w:cs="Arial"/>
          <w:sz w:val="22"/>
          <w:szCs w:val="22"/>
        </w:rPr>
        <w:t xml:space="preserve"> and</w:t>
      </w:r>
      <w:r w:rsidR="00C30AEA">
        <w:rPr>
          <w:rFonts w:ascii="Arial" w:hAnsi="Arial" w:cs="Arial"/>
          <w:sz w:val="22"/>
          <w:szCs w:val="22"/>
        </w:rPr>
        <w:t xml:space="preserve"> provide them with adequate resources to undertake their role</w:t>
      </w:r>
      <w:r>
        <w:rPr>
          <w:rFonts w:ascii="Arial" w:hAnsi="Arial" w:cs="Arial"/>
          <w:sz w:val="22"/>
          <w:szCs w:val="22"/>
        </w:rPr>
        <w:t>.</w:t>
      </w:r>
      <w:r w:rsidR="00C30AEA">
        <w:rPr>
          <w:rFonts w:ascii="Arial" w:hAnsi="Arial" w:cs="Arial"/>
          <w:sz w:val="22"/>
          <w:szCs w:val="22"/>
        </w:rPr>
        <w:t xml:space="preserve"> </w:t>
      </w:r>
      <w:r>
        <w:rPr>
          <w:rFonts w:ascii="Arial" w:hAnsi="Arial" w:cs="Arial"/>
          <w:sz w:val="22"/>
          <w:szCs w:val="22"/>
        </w:rPr>
        <w:t>C</w:t>
      </w:r>
      <w:r w:rsidR="00C30AEA">
        <w:rPr>
          <w:rFonts w:ascii="Arial" w:hAnsi="Arial" w:cs="Arial"/>
          <w:sz w:val="22"/>
          <w:szCs w:val="22"/>
        </w:rPr>
        <w:t xml:space="preserve">ontingency arrangements </w:t>
      </w:r>
      <w:r>
        <w:rPr>
          <w:rFonts w:ascii="Arial" w:hAnsi="Arial" w:cs="Arial"/>
          <w:sz w:val="22"/>
          <w:szCs w:val="22"/>
        </w:rPr>
        <w:t xml:space="preserve">will be made </w:t>
      </w:r>
      <w:r w:rsidR="00C30AEA">
        <w:rPr>
          <w:rFonts w:ascii="Arial" w:hAnsi="Arial" w:cs="Arial"/>
          <w:sz w:val="22"/>
          <w:szCs w:val="22"/>
        </w:rPr>
        <w:t xml:space="preserve">to ensure continuity were the RO to become unavailable. </w:t>
      </w:r>
    </w:p>
    <w:p w14:paraId="4C618653" w14:textId="22FF2A05" w:rsidR="00003D01" w:rsidRDefault="00C30AEA" w:rsidP="00E37566">
      <w:pPr>
        <w:spacing w:before="120"/>
        <w:ind w:left="0"/>
        <w:rPr>
          <w:rFonts w:ascii="Arial" w:hAnsi="Arial" w:cs="Arial"/>
          <w:sz w:val="22"/>
          <w:szCs w:val="22"/>
        </w:rPr>
      </w:pPr>
      <w:r>
        <w:rPr>
          <w:rFonts w:ascii="Arial" w:hAnsi="Arial" w:cs="Arial"/>
          <w:sz w:val="22"/>
          <w:szCs w:val="22"/>
        </w:rPr>
        <w:t>The FPH Responsible Officer is responsible for the day-to</w:t>
      </w:r>
      <w:r w:rsidR="00090B28">
        <w:rPr>
          <w:rFonts w:ascii="Arial" w:hAnsi="Arial" w:cs="Arial"/>
          <w:sz w:val="22"/>
          <w:szCs w:val="22"/>
        </w:rPr>
        <w:t>-</w:t>
      </w:r>
      <w:r>
        <w:rPr>
          <w:rFonts w:ascii="Arial" w:hAnsi="Arial" w:cs="Arial"/>
          <w:sz w:val="22"/>
          <w:szCs w:val="22"/>
        </w:rPr>
        <w:t xml:space="preserve">day implementation of the clinical governance of members with a prescribed connection to </w:t>
      </w:r>
      <w:proofErr w:type="gramStart"/>
      <w:r>
        <w:rPr>
          <w:rFonts w:ascii="Arial" w:hAnsi="Arial" w:cs="Arial"/>
          <w:sz w:val="22"/>
          <w:szCs w:val="22"/>
        </w:rPr>
        <w:t xml:space="preserve">FPH </w:t>
      </w:r>
      <w:r w:rsidR="00090B28">
        <w:rPr>
          <w:rFonts w:ascii="Arial" w:hAnsi="Arial" w:cs="Arial"/>
          <w:sz w:val="22"/>
          <w:szCs w:val="22"/>
        </w:rPr>
        <w:t>,</w:t>
      </w:r>
      <w:proofErr w:type="gramEnd"/>
      <w:r w:rsidR="00090B28">
        <w:rPr>
          <w:rFonts w:ascii="Arial" w:hAnsi="Arial" w:cs="Arial"/>
          <w:sz w:val="22"/>
          <w:szCs w:val="22"/>
        </w:rPr>
        <w:t xml:space="preserve"> as well as</w:t>
      </w:r>
      <w:r>
        <w:rPr>
          <w:rFonts w:ascii="Arial" w:hAnsi="Arial" w:cs="Arial"/>
          <w:sz w:val="22"/>
          <w:szCs w:val="22"/>
        </w:rPr>
        <w:t xml:space="preserve"> the quality improvement and </w:t>
      </w:r>
      <w:r w:rsidR="00090B28">
        <w:rPr>
          <w:rFonts w:ascii="Arial" w:hAnsi="Arial" w:cs="Arial"/>
          <w:sz w:val="22"/>
          <w:szCs w:val="22"/>
        </w:rPr>
        <w:t xml:space="preserve">quality </w:t>
      </w:r>
      <w:r>
        <w:rPr>
          <w:rFonts w:ascii="Arial" w:hAnsi="Arial" w:cs="Arial"/>
          <w:sz w:val="22"/>
          <w:szCs w:val="22"/>
        </w:rPr>
        <w:t xml:space="preserve">assurance of the FPH </w:t>
      </w:r>
      <w:r w:rsidR="00090B28">
        <w:rPr>
          <w:rFonts w:ascii="Arial" w:hAnsi="Arial" w:cs="Arial"/>
          <w:sz w:val="22"/>
          <w:szCs w:val="22"/>
        </w:rPr>
        <w:t>r</w:t>
      </w:r>
      <w:r>
        <w:rPr>
          <w:rFonts w:ascii="Arial" w:hAnsi="Arial" w:cs="Arial"/>
          <w:sz w:val="22"/>
          <w:szCs w:val="22"/>
        </w:rPr>
        <w:t xml:space="preserve">evalidation service. The whole system is subject to the scrutiny of the Workforce </w:t>
      </w:r>
      <w:r w:rsidR="00090B28">
        <w:rPr>
          <w:rFonts w:ascii="Arial" w:hAnsi="Arial" w:cs="Arial"/>
          <w:sz w:val="22"/>
          <w:szCs w:val="22"/>
        </w:rPr>
        <w:t xml:space="preserve">Standing </w:t>
      </w:r>
      <w:r>
        <w:rPr>
          <w:rFonts w:ascii="Arial" w:hAnsi="Arial" w:cs="Arial"/>
          <w:sz w:val="22"/>
          <w:szCs w:val="22"/>
        </w:rPr>
        <w:t>Committee.</w:t>
      </w:r>
    </w:p>
    <w:p w14:paraId="546AF571" w14:textId="53849A9F" w:rsidR="00003D01" w:rsidRDefault="00090B28" w:rsidP="00E37566">
      <w:pPr>
        <w:spacing w:before="120"/>
        <w:ind w:left="0"/>
        <w:rPr>
          <w:rFonts w:ascii="Arial" w:hAnsi="Arial" w:cs="Arial"/>
          <w:sz w:val="22"/>
          <w:szCs w:val="22"/>
        </w:rPr>
      </w:pPr>
      <w:r>
        <w:rPr>
          <w:rFonts w:ascii="Arial" w:hAnsi="Arial" w:cs="Arial"/>
          <w:sz w:val="22"/>
          <w:szCs w:val="22"/>
        </w:rPr>
        <w:t>The FPH Responsible Officer</w:t>
      </w:r>
      <w:r w:rsidR="00C30AEA">
        <w:rPr>
          <w:rFonts w:ascii="Arial" w:hAnsi="Arial" w:cs="Arial"/>
          <w:sz w:val="22"/>
          <w:szCs w:val="22"/>
        </w:rPr>
        <w:t xml:space="preserve"> will </w:t>
      </w:r>
      <w:r>
        <w:rPr>
          <w:rFonts w:ascii="Arial" w:hAnsi="Arial" w:cs="Arial"/>
          <w:sz w:val="22"/>
          <w:szCs w:val="22"/>
        </w:rPr>
        <w:t xml:space="preserve">need to </w:t>
      </w:r>
      <w:r w:rsidR="00C30AEA">
        <w:rPr>
          <w:rFonts w:ascii="Arial" w:hAnsi="Arial" w:cs="Arial"/>
          <w:sz w:val="22"/>
          <w:szCs w:val="22"/>
        </w:rPr>
        <w:t xml:space="preserve">demonstrate </w:t>
      </w:r>
      <w:r>
        <w:rPr>
          <w:rFonts w:ascii="Arial" w:hAnsi="Arial" w:cs="Arial"/>
          <w:sz w:val="22"/>
          <w:szCs w:val="22"/>
        </w:rPr>
        <w:t xml:space="preserve">yearly </w:t>
      </w:r>
      <w:r w:rsidR="00C30AEA">
        <w:rPr>
          <w:rFonts w:ascii="Arial" w:hAnsi="Arial" w:cs="Arial"/>
          <w:sz w:val="22"/>
          <w:szCs w:val="22"/>
        </w:rPr>
        <w:t>to the Registrar that they are competent</w:t>
      </w:r>
      <w:r>
        <w:rPr>
          <w:rFonts w:ascii="Arial" w:hAnsi="Arial" w:cs="Arial"/>
          <w:sz w:val="22"/>
          <w:szCs w:val="22"/>
        </w:rPr>
        <w:t xml:space="preserve"> in their role as RO</w:t>
      </w:r>
      <w:r w:rsidR="00C30AEA">
        <w:rPr>
          <w:rFonts w:ascii="Arial" w:hAnsi="Arial" w:cs="Arial"/>
          <w:sz w:val="22"/>
          <w:szCs w:val="22"/>
        </w:rPr>
        <w:t>. This will include</w:t>
      </w:r>
      <w:r>
        <w:rPr>
          <w:rFonts w:ascii="Arial" w:hAnsi="Arial" w:cs="Arial"/>
          <w:sz w:val="22"/>
          <w:szCs w:val="22"/>
        </w:rPr>
        <w:t xml:space="preserve"> an assessment</w:t>
      </w:r>
      <w:r w:rsidR="00C30AEA">
        <w:rPr>
          <w:rFonts w:ascii="Arial" w:hAnsi="Arial" w:cs="Arial"/>
          <w:sz w:val="22"/>
          <w:szCs w:val="22"/>
        </w:rPr>
        <w:t xml:space="preserve"> </w:t>
      </w:r>
      <w:r>
        <w:rPr>
          <w:rFonts w:ascii="Arial" w:hAnsi="Arial" w:cs="Arial"/>
          <w:sz w:val="22"/>
          <w:szCs w:val="22"/>
        </w:rPr>
        <w:t xml:space="preserve">of </w:t>
      </w:r>
      <w:r w:rsidR="00C30AEA">
        <w:rPr>
          <w:rFonts w:ascii="Arial" w:hAnsi="Arial" w:cs="Arial"/>
          <w:sz w:val="22"/>
          <w:szCs w:val="22"/>
        </w:rPr>
        <w:t>internal and external audit</w:t>
      </w:r>
      <w:r>
        <w:rPr>
          <w:rFonts w:ascii="Arial" w:hAnsi="Arial" w:cs="Arial"/>
          <w:sz w:val="22"/>
          <w:szCs w:val="22"/>
        </w:rPr>
        <w:t>,</w:t>
      </w:r>
      <w:r w:rsidR="00C30AEA">
        <w:rPr>
          <w:rFonts w:ascii="Arial" w:hAnsi="Arial" w:cs="Arial"/>
          <w:sz w:val="22"/>
          <w:szCs w:val="22"/>
        </w:rPr>
        <w:t xml:space="preserve"> </w:t>
      </w:r>
      <w:r w:rsidR="005E1220">
        <w:rPr>
          <w:rFonts w:ascii="Arial" w:hAnsi="Arial" w:cs="Arial"/>
          <w:sz w:val="22"/>
          <w:szCs w:val="22"/>
        </w:rPr>
        <w:t xml:space="preserve">a </w:t>
      </w:r>
      <w:r w:rsidR="00C30AEA">
        <w:rPr>
          <w:rFonts w:ascii="Arial" w:hAnsi="Arial" w:cs="Arial"/>
          <w:sz w:val="22"/>
          <w:szCs w:val="22"/>
        </w:rPr>
        <w:t xml:space="preserve">review </w:t>
      </w:r>
      <w:r w:rsidR="005E1220">
        <w:rPr>
          <w:rFonts w:ascii="Arial" w:hAnsi="Arial" w:cs="Arial"/>
          <w:sz w:val="22"/>
          <w:szCs w:val="22"/>
        </w:rPr>
        <w:t xml:space="preserve">of </w:t>
      </w:r>
      <w:r w:rsidR="00C30AEA">
        <w:rPr>
          <w:rFonts w:ascii="Arial" w:hAnsi="Arial" w:cs="Arial"/>
          <w:sz w:val="22"/>
          <w:szCs w:val="22"/>
        </w:rPr>
        <w:t>activities</w:t>
      </w:r>
      <w:r>
        <w:rPr>
          <w:rFonts w:ascii="Arial" w:hAnsi="Arial" w:cs="Arial"/>
          <w:sz w:val="22"/>
          <w:szCs w:val="22"/>
        </w:rPr>
        <w:t>,</w:t>
      </w:r>
      <w:r w:rsidR="00C30AEA">
        <w:rPr>
          <w:rFonts w:ascii="Arial" w:hAnsi="Arial" w:cs="Arial"/>
          <w:sz w:val="22"/>
          <w:szCs w:val="22"/>
        </w:rPr>
        <w:t xml:space="preserve"> </w:t>
      </w:r>
      <w:r w:rsidR="005E1220">
        <w:rPr>
          <w:rFonts w:ascii="Arial" w:hAnsi="Arial" w:cs="Arial"/>
          <w:sz w:val="22"/>
          <w:szCs w:val="22"/>
        </w:rPr>
        <w:t xml:space="preserve">proof of </w:t>
      </w:r>
      <w:r w:rsidR="00C30AEA">
        <w:rPr>
          <w:rFonts w:ascii="Arial" w:hAnsi="Arial" w:cs="Arial"/>
          <w:sz w:val="22"/>
          <w:szCs w:val="22"/>
        </w:rPr>
        <w:t xml:space="preserve">appropriate CPD and </w:t>
      </w:r>
      <w:r w:rsidR="005E1220">
        <w:rPr>
          <w:rFonts w:ascii="Arial" w:hAnsi="Arial" w:cs="Arial"/>
          <w:sz w:val="22"/>
          <w:szCs w:val="22"/>
        </w:rPr>
        <w:t xml:space="preserve">engagement in annual </w:t>
      </w:r>
      <w:r w:rsidR="00C30AEA">
        <w:rPr>
          <w:rFonts w:ascii="Arial" w:hAnsi="Arial" w:cs="Arial"/>
          <w:sz w:val="22"/>
          <w:szCs w:val="22"/>
        </w:rPr>
        <w:t>appraisal.</w:t>
      </w:r>
    </w:p>
    <w:p w14:paraId="2656E158" w14:textId="77777777" w:rsidR="00003D01" w:rsidRDefault="00003D01" w:rsidP="00E37566">
      <w:pPr>
        <w:spacing w:before="120"/>
        <w:ind w:left="0"/>
        <w:rPr>
          <w:rFonts w:ascii="Arial" w:hAnsi="Arial" w:cs="Arial"/>
          <w:sz w:val="22"/>
          <w:szCs w:val="22"/>
        </w:rPr>
      </w:pPr>
    </w:p>
    <w:p w14:paraId="46F49868" w14:textId="77777777" w:rsidR="00F47340" w:rsidRPr="00F47340" w:rsidRDefault="00F47340" w:rsidP="00F47340">
      <w:pPr>
        <w:pStyle w:val="Heading2"/>
        <w:ind w:left="0"/>
        <w:rPr>
          <w:rFonts w:ascii="Arial" w:eastAsiaTheme="minorHAnsi" w:hAnsi="Arial" w:cs="Arial"/>
          <w:b/>
          <w:bCs/>
          <w:color w:val="auto"/>
          <w:sz w:val="22"/>
          <w:szCs w:val="22"/>
        </w:rPr>
      </w:pPr>
      <w:r w:rsidRPr="00F47340">
        <w:rPr>
          <w:rFonts w:ascii="Arial" w:eastAsiaTheme="minorHAnsi" w:hAnsi="Arial" w:cs="Arial"/>
          <w:b/>
          <w:bCs/>
          <w:color w:val="auto"/>
          <w:sz w:val="22"/>
          <w:szCs w:val="22"/>
        </w:rPr>
        <w:t>Review</w:t>
      </w:r>
    </w:p>
    <w:p w14:paraId="3087AB98" w14:textId="404029D6" w:rsidR="00F47340" w:rsidRPr="00F47340" w:rsidRDefault="00F47340" w:rsidP="00F47340">
      <w:pPr>
        <w:ind w:left="0"/>
        <w:rPr>
          <w:rFonts w:ascii="Arial" w:hAnsi="Arial" w:cs="Arial"/>
          <w:sz w:val="22"/>
          <w:szCs w:val="22"/>
        </w:rPr>
      </w:pPr>
      <w:r w:rsidRPr="00F47340">
        <w:rPr>
          <w:rFonts w:ascii="Arial" w:hAnsi="Arial" w:cs="Arial"/>
          <w:sz w:val="22"/>
          <w:szCs w:val="22"/>
        </w:rPr>
        <w:t xml:space="preserve">This policy will be reviewed </w:t>
      </w:r>
      <w:r>
        <w:rPr>
          <w:rFonts w:ascii="Arial" w:hAnsi="Arial" w:cs="Arial"/>
          <w:sz w:val="22"/>
          <w:szCs w:val="22"/>
        </w:rPr>
        <w:t>in every three years</w:t>
      </w:r>
      <w:r w:rsidRPr="00F47340">
        <w:rPr>
          <w:rFonts w:ascii="Arial" w:hAnsi="Arial" w:cs="Arial"/>
          <w:sz w:val="22"/>
          <w:szCs w:val="22"/>
        </w:rPr>
        <w:t xml:space="preserve"> by the Revalidation Team.</w:t>
      </w:r>
    </w:p>
    <w:p w14:paraId="5FCEA994" w14:textId="08649FE5" w:rsidR="00F47340" w:rsidRDefault="00F47340" w:rsidP="00F47340">
      <w:pPr>
        <w:ind w:left="0"/>
        <w:rPr>
          <w:rFonts w:ascii="Arial" w:hAnsi="Arial" w:cs="Arial"/>
          <w:sz w:val="22"/>
          <w:szCs w:val="22"/>
        </w:rPr>
      </w:pPr>
      <w:r>
        <w:rPr>
          <w:rFonts w:ascii="Arial" w:hAnsi="Arial" w:cs="Arial"/>
          <w:sz w:val="22"/>
          <w:szCs w:val="22"/>
        </w:rPr>
        <w:t>December</w:t>
      </w:r>
      <w:r w:rsidRPr="00F47340">
        <w:rPr>
          <w:rFonts w:ascii="Arial" w:hAnsi="Arial" w:cs="Arial"/>
          <w:sz w:val="22"/>
          <w:szCs w:val="22"/>
        </w:rPr>
        <w:t xml:space="preserve"> 2024 – For renewal in </w:t>
      </w:r>
      <w:r>
        <w:rPr>
          <w:rFonts w:ascii="Arial" w:hAnsi="Arial" w:cs="Arial"/>
          <w:sz w:val="22"/>
          <w:szCs w:val="22"/>
        </w:rPr>
        <w:t>December</w:t>
      </w:r>
      <w:r w:rsidRPr="00F47340">
        <w:rPr>
          <w:rFonts w:ascii="Arial" w:hAnsi="Arial" w:cs="Arial"/>
          <w:sz w:val="22"/>
          <w:szCs w:val="22"/>
        </w:rPr>
        <w:t xml:space="preserve"> 202</w:t>
      </w:r>
      <w:r>
        <w:rPr>
          <w:rFonts w:ascii="Arial" w:hAnsi="Arial" w:cs="Arial"/>
          <w:sz w:val="22"/>
          <w:szCs w:val="22"/>
        </w:rPr>
        <w:t>7</w:t>
      </w:r>
      <w:r w:rsidRPr="00F47340">
        <w:rPr>
          <w:rFonts w:ascii="Arial" w:hAnsi="Arial" w:cs="Arial"/>
          <w:sz w:val="22"/>
          <w:szCs w:val="22"/>
        </w:rPr>
        <w:t>.</w:t>
      </w:r>
    </w:p>
    <w:p w14:paraId="52AFEFC3" w14:textId="77777777" w:rsidR="002C24BB" w:rsidRDefault="002C24BB" w:rsidP="00F47340">
      <w:pPr>
        <w:ind w:left="0"/>
        <w:rPr>
          <w:rFonts w:ascii="Arial" w:hAnsi="Arial" w:cs="Arial"/>
          <w:sz w:val="22"/>
          <w:szCs w:val="22"/>
        </w:rPr>
      </w:pPr>
    </w:p>
    <w:p w14:paraId="61E3DE02" w14:textId="77777777" w:rsidR="00CE7D4A" w:rsidRDefault="00CE7D4A" w:rsidP="00F47340">
      <w:pPr>
        <w:ind w:left="0"/>
        <w:rPr>
          <w:rFonts w:ascii="Arial" w:hAnsi="Arial" w:cs="Arial"/>
          <w:sz w:val="22"/>
          <w:szCs w:val="22"/>
        </w:rPr>
      </w:pPr>
    </w:p>
    <w:p w14:paraId="1F6D3989" w14:textId="77777777" w:rsidR="00CE7D4A" w:rsidRDefault="00CE7D4A" w:rsidP="00F47340">
      <w:pPr>
        <w:ind w:left="0"/>
        <w:rPr>
          <w:rFonts w:ascii="Arial" w:hAnsi="Arial" w:cs="Arial"/>
          <w:sz w:val="22"/>
          <w:szCs w:val="22"/>
        </w:rPr>
      </w:pPr>
    </w:p>
    <w:p w14:paraId="3C56EBD6" w14:textId="77777777" w:rsidR="00CE7D4A" w:rsidRDefault="00CE7D4A" w:rsidP="00F47340">
      <w:pPr>
        <w:ind w:left="0"/>
        <w:rPr>
          <w:rFonts w:ascii="Arial" w:hAnsi="Arial" w:cs="Arial"/>
          <w:sz w:val="22"/>
          <w:szCs w:val="22"/>
        </w:rPr>
      </w:pPr>
    </w:p>
    <w:p w14:paraId="02A46F61" w14:textId="77777777" w:rsidR="00CE7D4A" w:rsidRDefault="00CE7D4A" w:rsidP="00F47340">
      <w:pPr>
        <w:ind w:left="0"/>
        <w:rPr>
          <w:rFonts w:ascii="Arial" w:hAnsi="Arial" w:cs="Arial"/>
          <w:sz w:val="22"/>
          <w:szCs w:val="22"/>
        </w:rPr>
      </w:pPr>
    </w:p>
    <w:p w14:paraId="48343A77" w14:textId="77777777" w:rsidR="00CE7D4A" w:rsidRDefault="00CE7D4A" w:rsidP="00F47340">
      <w:pPr>
        <w:ind w:left="0"/>
        <w:rPr>
          <w:rFonts w:ascii="Arial" w:hAnsi="Arial" w:cs="Arial"/>
          <w:sz w:val="22"/>
          <w:szCs w:val="22"/>
        </w:rPr>
      </w:pPr>
    </w:p>
    <w:p w14:paraId="0ADFCBBF" w14:textId="77777777" w:rsidR="00CE7D4A" w:rsidRDefault="00CE7D4A" w:rsidP="00F47340">
      <w:pPr>
        <w:ind w:left="0"/>
        <w:rPr>
          <w:rFonts w:ascii="Arial" w:hAnsi="Arial" w:cs="Arial"/>
          <w:sz w:val="22"/>
          <w:szCs w:val="22"/>
        </w:rPr>
      </w:pPr>
    </w:p>
    <w:p w14:paraId="53D8129C" w14:textId="77777777" w:rsidR="00CE7D4A" w:rsidRDefault="00CE7D4A" w:rsidP="00F47340">
      <w:pPr>
        <w:ind w:left="0"/>
        <w:rPr>
          <w:rFonts w:ascii="Arial" w:hAnsi="Arial" w:cs="Arial"/>
          <w:sz w:val="22"/>
          <w:szCs w:val="22"/>
        </w:rPr>
      </w:pPr>
    </w:p>
    <w:p w14:paraId="221A4D24" w14:textId="77777777" w:rsidR="00CE7D4A" w:rsidRDefault="00CE7D4A" w:rsidP="00F47340">
      <w:pPr>
        <w:ind w:left="0"/>
        <w:rPr>
          <w:rFonts w:ascii="Arial" w:hAnsi="Arial" w:cs="Arial"/>
          <w:sz w:val="22"/>
          <w:szCs w:val="22"/>
        </w:rPr>
      </w:pPr>
    </w:p>
    <w:p w14:paraId="466DB31E" w14:textId="77777777" w:rsidR="00CE7D4A" w:rsidRDefault="00CE7D4A" w:rsidP="00F47340">
      <w:pPr>
        <w:ind w:left="0"/>
        <w:rPr>
          <w:rFonts w:ascii="Arial" w:hAnsi="Arial" w:cs="Arial"/>
          <w:sz w:val="22"/>
          <w:szCs w:val="22"/>
        </w:rPr>
      </w:pPr>
    </w:p>
    <w:p w14:paraId="5A52E162" w14:textId="77777777" w:rsidR="00CE7D4A" w:rsidRDefault="00CE7D4A" w:rsidP="00F47340">
      <w:pPr>
        <w:ind w:left="0"/>
        <w:rPr>
          <w:rFonts w:ascii="Arial" w:hAnsi="Arial" w:cs="Arial"/>
          <w:sz w:val="22"/>
          <w:szCs w:val="22"/>
        </w:rPr>
      </w:pPr>
    </w:p>
    <w:p w14:paraId="04E92B9F" w14:textId="77777777" w:rsidR="00CE7D4A" w:rsidRDefault="00CE7D4A" w:rsidP="00F47340">
      <w:pPr>
        <w:ind w:left="0"/>
        <w:rPr>
          <w:rFonts w:ascii="Arial" w:hAnsi="Arial" w:cs="Arial"/>
          <w:sz w:val="22"/>
          <w:szCs w:val="22"/>
        </w:rPr>
      </w:pPr>
    </w:p>
    <w:p w14:paraId="7A9268AC" w14:textId="77777777" w:rsidR="00CE7D4A" w:rsidRDefault="00CE7D4A" w:rsidP="00F47340">
      <w:pPr>
        <w:ind w:left="0"/>
        <w:rPr>
          <w:rFonts w:ascii="Arial" w:hAnsi="Arial" w:cs="Arial"/>
          <w:sz w:val="22"/>
          <w:szCs w:val="22"/>
        </w:rPr>
      </w:pPr>
    </w:p>
    <w:p w14:paraId="22157BD6" w14:textId="77777777" w:rsidR="00CE7D4A" w:rsidRDefault="00CE7D4A" w:rsidP="00F47340">
      <w:pPr>
        <w:ind w:left="0"/>
        <w:rPr>
          <w:rFonts w:ascii="Arial" w:hAnsi="Arial" w:cs="Arial"/>
          <w:sz w:val="22"/>
          <w:szCs w:val="22"/>
        </w:rPr>
      </w:pPr>
    </w:p>
    <w:p w14:paraId="05A1DEBB" w14:textId="77777777" w:rsidR="00CE7D4A" w:rsidRDefault="00CE7D4A" w:rsidP="00F47340">
      <w:pPr>
        <w:ind w:left="0"/>
        <w:rPr>
          <w:rFonts w:ascii="Arial" w:hAnsi="Arial" w:cs="Arial"/>
          <w:sz w:val="22"/>
          <w:szCs w:val="22"/>
        </w:rPr>
      </w:pPr>
    </w:p>
    <w:p w14:paraId="15355B7B" w14:textId="77777777" w:rsidR="00CE7D4A" w:rsidRDefault="00CE7D4A" w:rsidP="00F47340">
      <w:pPr>
        <w:ind w:left="0"/>
        <w:rPr>
          <w:rFonts w:ascii="Arial" w:hAnsi="Arial" w:cs="Arial"/>
          <w:sz w:val="22"/>
          <w:szCs w:val="22"/>
        </w:rPr>
      </w:pPr>
    </w:p>
    <w:p w14:paraId="0605D21C" w14:textId="77777777" w:rsidR="00CE7D4A" w:rsidRDefault="00CE7D4A" w:rsidP="00F47340">
      <w:pPr>
        <w:ind w:left="0"/>
        <w:rPr>
          <w:rFonts w:ascii="Arial" w:hAnsi="Arial" w:cs="Arial"/>
          <w:sz w:val="22"/>
          <w:szCs w:val="22"/>
        </w:rPr>
      </w:pPr>
    </w:p>
    <w:p w14:paraId="29AE84C7" w14:textId="77777777" w:rsidR="00CE7D4A" w:rsidRDefault="00CE7D4A" w:rsidP="00F47340">
      <w:pPr>
        <w:ind w:left="0"/>
        <w:rPr>
          <w:rFonts w:ascii="Arial" w:hAnsi="Arial" w:cs="Arial"/>
          <w:sz w:val="22"/>
          <w:szCs w:val="22"/>
        </w:rPr>
      </w:pPr>
    </w:p>
    <w:p w14:paraId="5835DC54" w14:textId="77777777" w:rsidR="00CE7D4A" w:rsidRDefault="00CE7D4A" w:rsidP="00F47340">
      <w:pPr>
        <w:ind w:left="0"/>
        <w:rPr>
          <w:rFonts w:ascii="Arial" w:hAnsi="Arial" w:cs="Arial"/>
          <w:sz w:val="22"/>
          <w:szCs w:val="22"/>
        </w:rPr>
      </w:pPr>
    </w:p>
    <w:p w14:paraId="68230D63" w14:textId="77777777" w:rsidR="00CE7D4A" w:rsidRDefault="00CE7D4A" w:rsidP="00F47340">
      <w:pPr>
        <w:ind w:left="0"/>
        <w:rPr>
          <w:rFonts w:ascii="Arial" w:hAnsi="Arial" w:cs="Arial"/>
          <w:sz w:val="22"/>
          <w:szCs w:val="22"/>
        </w:rPr>
      </w:pPr>
    </w:p>
    <w:p w14:paraId="694981E0" w14:textId="77777777" w:rsidR="00CE7D4A" w:rsidRDefault="00CE7D4A" w:rsidP="00F47340">
      <w:pPr>
        <w:ind w:left="0"/>
        <w:rPr>
          <w:rFonts w:ascii="Arial" w:hAnsi="Arial" w:cs="Arial"/>
          <w:sz w:val="22"/>
          <w:szCs w:val="22"/>
        </w:rPr>
      </w:pPr>
    </w:p>
    <w:p w14:paraId="0DDE0B1C" w14:textId="77777777" w:rsidR="00CE7D4A" w:rsidRDefault="00CE7D4A" w:rsidP="00F47340">
      <w:pPr>
        <w:ind w:left="0"/>
        <w:rPr>
          <w:rFonts w:ascii="Arial" w:hAnsi="Arial" w:cs="Arial"/>
          <w:sz w:val="22"/>
          <w:szCs w:val="22"/>
        </w:rPr>
      </w:pPr>
    </w:p>
    <w:p w14:paraId="7C010057" w14:textId="77777777" w:rsidR="00CE7D4A" w:rsidRDefault="00CE7D4A" w:rsidP="00F47340">
      <w:pPr>
        <w:ind w:left="0"/>
        <w:rPr>
          <w:rFonts w:ascii="Arial" w:hAnsi="Arial" w:cs="Arial"/>
          <w:sz w:val="22"/>
          <w:szCs w:val="22"/>
        </w:rPr>
      </w:pPr>
    </w:p>
    <w:p w14:paraId="69308DD8" w14:textId="77777777" w:rsidR="00CE7D4A" w:rsidRDefault="00CE7D4A" w:rsidP="00F47340">
      <w:pPr>
        <w:ind w:left="0"/>
        <w:rPr>
          <w:rFonts w:ascii="Arial" w:hAnsi="Arial" w:cs="Arial"/>
          <w:sz w:val="22"/>
          <w:szCs w:val="22"/>
        </w:rPr>
      </w:pPr>
    </w:p>
    <w:p w14:paraId="59C22998" w14:textId="55B4D1B5" w:rsidR="002C24BB" w:rsidRPr="00F47340" w:rsidRDefault="002C24BB" w:rsidP="00F47340">
      <w:pPr>
        <w:ind w:left="0"/>
        <w:rPr>
          <w:rFonts w:ascii="Arial" w:hAnsi="Arial" w:cs="Arial"/>
          <w:sz w:val="22"/>
          <w:szCs w:val="22"/>
        </w:rPr>
      </w:pPr>
      <w:r>
        <w:rPr>
          <w:rFonts w:ascii="Arial" w:hAnsi="Arial" w:cs="Arial"/>
          <w:sz w:val="22"/>
          <w:szCs w:val="22"/>
        </w:rPr>
        <w:lastRenderedPageBreak/>
        <w:t>Annex A</w:t>
      </w:r>
      <w:r w:rsidR="008045EF">
        <w:rPr>
          <w:rFonts w:ascii="Arial" w:hAnsi="Arial" w:cs="Arial"/>
          <w:sz w:val="22"/>
          <w:szCs w:val="22"/>
        </w:rPr>
        <w:t>:</w:t>
      </w:r>
      <w:r>
        <w:rPr>
          <w:rFonts w:ascii="Arial" w:hAnsi="Arial" w:cs="Arial"/>
          <w:sz w:val="22"/>
          <w:szCs w:val="22"/>
        </w:rPr>
        <w:t xml:space="preserve"> </w:t>
      </w:r>
      <w:r w:rsidR="008045EF" w:rsidRPr="008045EF">
        <w:rPr>
          <w:rFonts w:ascii="Arial" w:hAnsi="Arial" w:cs="Arial"/>
          <w:sz w:val="22"/>
          <w:szCs w:val="22"/>
        </w:rPr>
        <w:t>FPH Clinical Governance Declaration.</w:t>
      </w:r>
    </w:p>
    <w:p w14:paraId="0196F028" w14:textId="619FCE6B" w:rsidR="00003D01" w:rsidRDefault="00003D01" w:rsidP="00E37566">
      <w:pPr>
        <w:spacing w:before="120"/>
        <w:ind w:left="0"/>
        <w:rPr>
          <w:rFonts w:ascii="Arial" w:hAnsi="Arial" w:cs="Arial"/>
          <w:sz w:val="22"/>
          <w:szCs w:val="22"/>
        </w:rPr>
      </w:pPr>
    </w:p>
    <w:p w14:paraId="7248A354" w14:textId="77777777" w:rsidR="00CE7D4A" w:rsidRDefault="00CE7D4A" w:rsidP="00E37566">
      <w:pPr>
        <w:spacing w:before="120"/>
        <w:ind w:left="0"/>
        <w:rPr>
          <w:rFonts w:ascii="Arial" w:hAnsi="Arial" w:cs="Arial"/>
          <w:sz w:val="22"/>
          <w:szCs w:val="22"/>
        </w:rPr>
      </w:pPr>
    </w:p>
    <w:p w14:paraId="64AC03BF" w14:textId="77777777" w:rsidR="00CE7D4A" w:rsidRDefault="00CE7D4A" w:rsidP="00CE7D4A">
      <w:pPr>
        <w:spacing w:after="0"/>
        <w:jc w:val="center"/>
        <w:rPr>
          <w:rFonts w:ascii="Arial" w:hAnsi="Arial" w:cs="Arial"/>
          <w:b/>
        </w:rPr>
      </w:pPr>
      <w:r>
        <w:rPr>
          <w:rFonts w:ascii="Arial" w:hAnsi="Arial" w:cs="Arial"/>
          <w:b/>
        </w:rPr>
        <w:t xml:space="preserve">Faculty of Public Health Revalidation Service: </w:t>
      </w:r>
      <w:r w:rsidRPr="006158E1">
        <w:rPr>
          <w:rFonts w:ascii="Arial" w:hAnsi="Arial" w:cs="Arial"/>
          <w:b/>
        </w:rPr>
        <w:t>Clinical Governance Declaration</w:t>
      </w:r>
    </w:p>
    <w:p w14:paraId="361890AD" w14:textId="77777777" w:rsidR="00CE7D4A" w:rsidRPr="006158E1" w:rsidRDefault="00CE7D4A" w:rsidP="00CE7D4A">
      <w:pPr>
        <w:spacing w:after="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CE7D4A" w:rsidRPr="00D45599" w14:paraId="40ED3DF3" w14:textId="77777777" w:rsidTr="001454F0">
        <w:tc>
          <w:tcPr>
            <w:tcW w:w="2376" w:type="dxa"/>
          </w:tcPr>
          <w:p w14:paraId="677311F7" w14:textId="77777777" w:rsidR="00CE7D4A" w:rsidRPr="00D45599" w:rsidRDefault="00CE7D4A" w:rsidP="001454F0">
            <w:pPr>
              <w:spacing w:after="0"/>
              <w:rPr>
                <w:rFonts w:ascii="Arial" w:hAnsi="Arial" w:cs="Arial"/>
                <w:b/>
                <w:sz w:val="20"/>
                <w:szCs w:val="20"/>
              </w:rPr>
            </w:pPr>
            <w:r w:rsidRPr="00D45599">
              <w:rPr>
                <w:rFonts w:ascii="Arial" w:hAnsi="Arial" w:cs="Arial"/>
                <w:b/>
                <w:sz w:val="20"/>
                <w:szCs w:val="20"/>
              </w:rPr>
              <w:t>Title:</w:t>
            </w:r>
          </w:p>
        </w:tc>
        <w:tc>
          <w:tcPr>
            <w:tcW w:w="6866" w:type="dxa"/>
          </w:tcPr>
          <w:p w14:paraId="448517C2" w14:textId="77777777" w:rsidR="00CE7D4A" w:rsidRPr="00D45599" w:rsidRDefault="00CE7D4A" w:rsidP="001454F0">
            <w:pPr>
              <w:spacing w:after="0"/>
              <w:jc w:val="center"/>
              <w:rPr>
                <w:rFonts w:ascii="Arial" w:hAnsi="Arial" w:cs="Arial"/>
                <w:b/>
                <w:sz w:val="20"/>
                <w:szCs w:val="20"/>
              </w:rPr>
            </w:pPr>
          </w:p>
        </w:tc>
      </w:tr>
      <w:tr w:rsidR="00CE7D4A" w:rsidRPr="00D45599" w14:paraId="7206BED5" w14:textId="77777777" w:rsidTr="001454F0">
        <w:tc>
          <w:tcPr>
            <w:tcW w:w="2376" w:type="dxa"/>
          </w:tcPr>
          <w:p w14:paraId="686E7043" w14:textId="77777777" w:rsidR="00CE7D4A" w:rsidRPr="00D45599" w:rsidRDefault="00CE7D4A" w:rsidP="001454F0">
            <w:pPr>
              <w:spacing w:after="0"/>
              <w:rPr>
                <w:rFonts w:ascii="Arial" w:hAnsi="Arial" w:cs="Arial"/>
                <w:b/>
                <w:sz w:val="20"/>
                <w:szCs w:val="20"/>
              </w:rPr>
            </w:pPr>
            <w:r w:rsidRPr="00D45599">
              <w:rPr>
                <w:rFonts w:ascii="Arial" w:hAnsi="Arial" w:cs="Arial"/>
                <w:b/>
                <w:sz w:val="20"/>
                <w:szCs w:val="20"/>
              </w:rPr>
              <w:t>Given name:</w:t>
            </w:r>
          </w:p>
        </w:tc>
        <w:tc>
          <w:tcPr>
            <w:tcW w:w="6866" w:type="dxa"/>
          </w:tcPr>
          <w:p w14:paraId="6FD5A423" w14:textId="77777777" w:rsidR="00CE7D4A" w:rsidRPr="00D45599" w:rsidRDefault="00CE7D4A" w:rsidP="001454F0">
            <w:pPr>
              <w:spacing w:after="0"/>
              <w:jc w:val="center"/>
              <w:rPr>
                <w:rFonts w:ascii="Arial" w:hAnsi="Arial" w:cs="Arial"/>
                <w:b/>
                <w:sz w:val="20"/>
                <w:szCs w:val="20"/>
              </w:rPr>
            </w:pPr>
          </w:p>
        </w:tc>
      </w:tr>
      <w:tr w:rsidR="00CE7D4A" w:rsidRPr="00D45599" w14:paraId="3B2D459C" w14:textId="77777777" w:rsidTr="001454F0">
        <w:tc>
          <w:tcPr>
            <w:tcW w:w="2376" w:type="dxa"/>
          </w:tcPr>
          <w:p w14:paraId="07D3F5C8" w14:textId="77777777" w:rsidR="00CE7D4A" w:rsidRPr="00D45599" w:rsidRDefault="00CE7D4A" w:rsidP="001454F0">
            <w:pPr>
              <w:spacing w:after="0"/>
              <w:rPr>
                <w:rFonts w:ascii="Arial" w:hAnsi="Arial" w:cs="Arial"/>
                <w:b/>
                <w:sz w:val="20"/>
                <w:szCs w:val="20"/>
              </w:rPr>
            </w:pPr>
            <w:r w:rsidRPr="00D45599">
              <w:rPr>
                <w:rFonts w:ascii="Arial" w:hAnsi="Arial" w:cs="Arial"/>
                <w:b/>
                <w:sz w:val="20"/>
                <w:szCs w:val="20"/>
              </w:rPr>
              <w:t>Surname:</w:t>
            </w:r>
          </w:p>
        </w:tc>
        <w:tc>
          <w:tcPr>
            <w:tcW w:w="6866" w:type="dxa"/>
          </w:tcPr>
          <w:p w14:paraId="6988ABA2" w14:textId="77777777" w:rsidR="00CE7D4A" w:rsidRPr="00D45599" w:rsidRDefault="00CE7D4A" w:rsidP="001454F0">
            <w:pPr>
              <w:spacing w:after="0"/>
              <w:jc w:val="center"/>
              <w:rPr>
                <w:rFonts w:ascii="Arial" w:hAnsi="Arial" w:cs="Arial"/>
                <w:b/>
                <w:sz w:val="20"/>
                <w:szCs w:val="20"/>
              </w:rPr>
            </w:pPr>
          </w:p>
        </w:tc>
      </w:tr>
      <w:tr w:rsidR="00CE7D4A" w:rsidRPr="00D45599" w14:paraId="27418214" w14:textId="77777777" w:rsidTr="001454F0">
        <w:tc>
          <w:tcPr>
            <w:tcW w:w="2376" w:type="dxa"/>
          </w:tcPr>
          <w:p w14:paraId="52D450C1" w14:textId="77777777" w:rsidR="00CE7D4A" w:rsidRPr="00D45599" w:rsidRDefault="00CE7D4A" w:rsidP="001454F0">
            <w:pPr>
              <w:spacing w:after="0"/>
              <w:rPr>
                <w:rFonts w:ascii="Arial" w:hAnsi="Arial" w:cs="Arial"/>
                <w:b/>
                <w:sz w:val="20"/>
                <w:szCs w:val="20"/>
              </w:rPr>
            </w:pPr>
            <w:r>
              <w:rPr>
                <w:rFonts w:ascii="Arial" w:hAnsi="Arial" w:cs="Arial"/>
                <w:b/>
                <w:sz w:val="20"/>
                <w:szCs w:val="20"/>
              </w:rPr>
              <w:t>GMC/UKPHR</w:t>
            </w:r>
            <w:r w:rsidRPr="00D45599">
              <w:rPr>
                <w:rFonts w:ascii="Arial" w:hAnsi="Arial" w:cs="Arial"/>
                <w:b/>
                <w:sz w:val="20"/>
                <w:szCs w:val="20"/>
              </w:rPr>
              <w:t xml:space="preserve"> number:</w:t>
            </w:r>
          </w:p>
        </w:tc>
        <w:tc>
          <w:tcPr>
            <w:tcW w:w="6866" w:type="dxa"/>
          </w:tcPr>
          <w:p w14:paraId="362AE936" w14:textId="77777777" w:rsidR="00CE7D4A" w:rsidRPr="00D45599" w:rsidRDefault="00CE7D4A" w:rsidP="001454F0">
            <w:pPr>
              <w:spacing w:after="0"/>
              <w:jc w:val="center"/>
              <w:rPr>
                <w:rFonts w:ascii="Arial" w:hAnsi="Arial" w:cs="Arial"/>
                <w:b/>
                <w:sz w:val="20"/>
                <w:szCs w:val="20"/>
              </w:rPr>
            </w:pPr>
          </w:p>
        </w:tc>
      </w:tr>
    </w:tbl>
    <w:p w14:paraId="1727FB5B" w14:textId="77777777" w:rsidR="00CE7D4A" w:rsidRDefault="00CE7D4A" w:rsidP="00CE7D4A">
      <w:pPr>
        <w:spacing w:after="0"/>
        <w:rPr>
          <w:rFonts w:ascii="Arial" w:hAnsi="Arial" w:cs="Arial"/>
          <w:b/>
          <w:sz w:val="20"/>
          <w:szCs w:val="20"/>
        </w:rPr>
      </w:pPr>
    </w:p>
    <w:p w14:paraId="73E28D79" w14:textId="77777777" w:rsidR="00CE7D4A" w:rsidRPr="00C04F08" w:rsidRDefault="00CE7D4A" w:rsidP="00CE7D4A">
      <w:pPr>
        <w:spacing w:after="0"/>
        <w:rPr>
          <w:rFonts w:ascii="Arial" w:hAnsi="Arial" w:cs="Arial"/>
          <w:sz w:val="20"/>
          <w:szCs w:val="20"/>
        </w:rPr>
      </w:pPr>
      <w:r w:rsidRPr="00C04F08">
        <w:rPr>
          <w:rFonts w:ascii="Arial" w:hAnsi="Arial" w:cs="Arial"/>
          <w:sz w:val="20"/>
          <w:szCs w:val="20"/>
        </w:rPr>
        <w:t xml:space="preserve">The provision and review of clinical governance data is essential to revalidation. Doctors must be able to monitor their practice through performance information, including clinical indicators relating to patient outcomes. However, due to FPH not being employers of the doctors with whom it has a prescribed connection, it is not possible to gather this data directly on behalf of the doctor. </w:t>
      </w:r>
    </w:p>
    <w:p w14:paraId="555A5CBB" w14:textId="77777777" w:rsidR="00CE7D4A" w:rsidRPr="00C04F08" w:rsidRDefault="00CE7D4A" w:rsidP="00CE7D4A">
      <w:pPr>
        <w:spacing w:after="0"/>
        <w:rPr>
          <w:rFonts w:ascii="Arial" w:hAnsi="Arial" w:cs="Arial"/>
          <w:sz w:val="20"/>
          <w:szCs w:val="20"/>
        </w:rPr>
      </w:pPr>
    </w:p>
    <w:p w14:paraId="06A462DB" w14:textId="77777777" w:rsidR="00CE7D4A" w:rsidRPr="00C04F08" w:rsidRDefault="00CE7D4A" w:rsidP="00CE7D4A">
      <w:pPr>
        <w:spacing w:after="0"/>
        <w:rPr>
          <w:rFonts w:ascii="Arial" w:hAnsi="Arial" w:cs="Arial"/>
          <w:sz w:val="20"/>
          <w:szCs w:val="20"/>
        </w:rPr>
      </w:pPr>
      <w:r w:rsidRPr="00C04F08">
        <w:rPr>
          <w:rFonts w:ascii="Arial" w:hAnsi="Arial" w:cs="Arial"/>
          <w:sz w:val="20"/>
          <w:szCs w:val="20"/>
        </w:rPr>
        <w:t xml:space="preserve">This declaration provides assurance that the doctor has produced </w:t>
      </w:r>
      <w:proofErr w:type="gramStart"/>
      <w:r w:rsidRPr="00C04F08">
        <w:rPr>
          <w:rFonts w:ascii="Arial" w:hAnsi="Arial" w:cs="Arial"/>
          <w:sz w:val="20"/>
          <w:szCs w:val="20"/>
        </w:rPr>
        <w:t>any and all</w:t>
      </w:r>
      <w:proofErr w:type="gramEnd"/>
      <w:r w:rsidRPr="00C04F08">
        <w:rPr>
          <w:rFonts w:ascii="Arial" w:hAnsi="Arial" w:cs="Arial"/>
          <w:sz w:val="20"/>
          <w:szCs w:val="20"/>
        </w:rPr>
        <w:t xml:space="preserve"> known information related to governance and audit that may impact on their revalidation recommendation.</w:t>
      </w:r>
    </w:p>
    <w:p w14:paraId="6B7114C4" w14:textId="77777777" w:rsidR="00CE7D4A" w:rsidRPr="00D45599" w:rsidRDefault="00CE7D4A" w:rsidP="00CE7D4A">
      <w:pPr>
        <w:spacing w:after="0"/>
        <w:rPr>
          <w:rFonts w:ascii="Arial" w:hAnsi="Arial" w:cs="Arial"/>
          <w:b/>
          <w:sz w:val="20"/>
          <w:szCs w:val="20"/>
        </w:rPr>
      </w:pPr>
    </w:p>
    <w:p w14:paraId="6C369FA8" w14:textId="77777777" w:rsidR="00CE7D4A" w:rsidRDefault="00CE7D4A" w:rsidP="00CE7D4A">
      <w:pPr>
        <w:spacing w:after="0"/>
        <w:rPr>
          <w:rFonts w:ascii="Arial" w:hAnsi="Arial" w:cs="Arial"/>
          <w:b/>
          <w:sz w:val="20"/>
          <w:szCs w:val="20"/>
        </w:rPr>
      </w:pPr>
      <w:r w:rsidRPr="00D45599">
        <w:rPr>
          <w:rFonts w:ascii="Arial" w:hAnsi="Arial" w:cs="Arial"/>
          <w:b/>
          <w:sz w:val="20"/>
          <w:szCs w:val="20"/>
        </w:rPr>
        <w:t xml:space="preserve">If any clinical governance information is available, it is the duty of the doctor to disclose it and ensure that the appraiser has access to it as part of the supporting information prior to the appraisal meeting. If no evidence is available, </w:t>
      </w:r>
      <w:r>
        <w:rPr>
          <w:rFonts w:ascii="Arial" w:hAnsi="Arial" w:cs="Arial"/>
          <w:b/>
          <w:sz w:val="20"/>
          <w:szCs w:val="20"/>
        </w:rPr>
        <w:t>doctors are required to complete and sign this</w:t>
      </w:r>
      <w:r w:rsidRPr="00D45599">
        <w:rPr>
          <w:rFonts w:ascii="Arial" w:hAnsi="Arial" w:cs="Arial"/>
          <w:b/>
          <w:sz w:val="20"/>
          <w:szCs w:val="20"/>
        </w:rPr>
        <w:t xml:space="preserve"> c</w:t>
      </w:r>
      <w:r>
        <w:rPr>
          <w:rFonts w:ascii="Arial" w:hAnsi="Arial" w:cs="Arial"/>
          <w:b/>
          <w:sz w:val="20"/>
          <w:szCs w:val="20"/>
        </w:rPr>
        <w:t xml:space="preserve">linical governance declaration. </w:t>
      </w:r>
    </w:p>
    <w:p w14:paraId="0697E500" w14:textId="77777777" w:rsidR="00CE7D4A" w:rsidRDefault="00CE7D4A" w:rsidP="00CE7D4A">
      <w:pPr>
        <w:spacing w:after="0"/>
        <w:rPr>
          <w:rFonts w:ascii="Arial" w:hAnsi="Arial" w:cs="Arial"/>
          <w:b/>
          <w:sz w:val="20"/>
          <w:szCs w:val="20"/>
        </w:rPr>
      </w:pPr>
    </w:p>
    <w:p w14:paraId="0C38D2F2" w14:textId="77777777" w:rsidR="00CE7D4A" w:rsidRDefault="00CE7D4A" w:rsidP="00CE7D4A">
      <w:pPr>
        <w:spacing w:after="0"/>
        <w:rPr>
          <w:rFonts w:ascii="Arial" w:hAnsi="Arial" w:cs="Arial"/>
          <w:b/>
          <w:sz w:val="20"/>
          <w:szCs w:val="20"/>
        </w:rPr>
      </w:pPr>
      <w:r>
        <w:rPr>
          <w:rFonts w:ascii="Arial" w:hAnsi="Arial" w:cs="Arial"/>
          <w:b/>
          <w:sz w:val="20"/>
          <w:szCs w:val="20"/>
        </w:rPr>
        <w:t xml:space="preserve">You should </w:t>
      </w:r>
      <w:r w:rsidRPr="00D45599">
        <w:rPr>
          <w:rFonts w:ascii="Arial" w:hAnsi="Arial" w:cs="Arial"/>
          <w:b/>
          <w:sz w:val="20"/>
          <w:szCs w:val="20"/>
        </w:rPr>
        <w:t>provide it to the appraiser as part of the supporting</w:t>
      </w:r>
      <w:r>
        <w:rPr>
          <w:rFonts w:ascii="Arial" w:hAnsi="Arial" w:cs="Arial"/>
          <w:b/>
          <w:sz w:val="20"/>
          <w:szCs w:val="20"/>
        </w:rPr>
        <w:t xml:space="preserve"> information</w:t>
      </w:r>
      <w:r w:rsidRPr="00D45599">
        <w:rPr>
          <w:rFonts w:ascii="Arial" w:hAnsi="Arial" w:cs="Arial"/>
          <w:b/>
          <w:sz w:val="20"/>
          <w:szCs w:val="20"/>
        </w:rPr>
        <w:t xml:space="preserve"> prior to the appraisal meeting. </w:t>
      </w:r>
    </w:p>
    <w:p w14:paraId="7B014C40" w14:textId="77777777" w:rsidR="00CE7D4A" w:rsidRDefault="00CE7D4A" w:rsidP="00CE7D4A">
      <w:pPr>
        <w:spacing w:after="0"/>
        <w:rPr>
          <w:rFonts w:ascii="Arial" w:hAnsi="Arial" w:cs="Arial"/>
          <w:b/>
          <w:sz w:val="20"/>
          <w:szCs w:val="20"/>
        </w:rPr>
      </w:pPr>
    </w:p>
    <w:p w14:paraId="7BD7383F" w14:textId="77777777" w:rsidR="00CE7D4A" w:rsidRPr="00DA372C" w:rsidRDefault="00CE7D4A" w:rsidP="00CE7D4A">
      <w:pPr>
        <w:spacing w:after="0"/>
        <w:rPr>
          <w:rFonts w:ascii="Arial" w:hAnsi="Arial" w:cs="Arial"/>
          <w:b/>
          <w:sz w:val="20"/>
          <w:szCs w:val="20"/>
        </w:rPr>
      </w:pPr>
      <w:r w:rsidRPr="00DA372C">
        <w:rPr>
          <w:rFonts w:ascii="Arial" w:hAnsi="Arial" w:cs="Arial"/>
          <w:b/>
          <w:sz w:val="20"/>
          <w:szCs w:val="20"/>
        </w:rPr>
        <w:t xml:space="preserve">Please answer ‘yes’ or </w:t>
      </w:r>
      <w:r>
        <w:rPr>
          <w:rFonts w:ascii="Arial" w:hAnsi="Arial" w:cs="Arial"/>
          <w:b/>
          <w:sz w:val="20"/>
          <w:szCs w:val="20"/>
        </w:rPr>
        <w:t>‘no’ to the following questions</w:t>
      </w:r>
    </w:p>
    <w:p w14:paraId="0A95B29D" w14:textId="77777777" w:rsidR="00CE7D4A" w:rsidRPr="00D318EB" w:rsidRDefault="00CE7D4A" w:rsidP="00CE7D4A">
      <w:pPr>
        <w:spacing w:after="0"/>
        <w:rPr>
          <w:rFonts w:ascii="Arial" w:hAnsi="Arial" w:cs="Arial"/>
          <w:i/>
          <w:sz w:val="20"/>
          <w:szCs w:val="20"/>
        </w:rPr>
      </w:pPr>
      <w:r w:rsidRPr="00D318EB">
        <w:rPr>
          <w:rFonts w:ascii="Arial" w:hAnsi="Arial" w:cs="Arial"/>
          <w:i/>
          <w:sz w:val="20"/>
          <w:szCs w:val="20"/>
        </w:rPr>
        <w:t>You do not need to tell us about a fixed penalty notice for a road traffic offence or a fixed penalty notice issued by a local authority.</w:t>
      </w:r>
    </w:p>
    <w:p w14:paraId="2BF1EFE7" w14:textId="77777777" w:rsidR="00CE7D4A" w:rsidRDefault="00CE7D4A" w:rsidP="00CE7D4A">
      <w:pPr>
        <w:spacing w:after="0"/>
        <w:rPr>
          <w:rFonts w:ascii="Arial" w:hAnsi="Arial" w:cs="Arial"/>
          <w:sz w:val="20"/>
          <w:szCs w:val="20"/>
        </w:rPr>
      </w:pPr>
    </w:p>
    <w:p w14:paraId="7B8D339A" w14:textId="77777777" w:rsidR="00CE7D4A" w:rsidRPr="00D318EB" w:rsidRDefault="00CE7D4A" w:rsidP="00CE7D4A">
      <w:pPr>
        <w:pStyle w:val="ListParagraph"/>
        <w:numPr>
          <w:ilvl w:val="0"/>
          <w:numId w:val="3"/>
        </w:numPr>
        <w:suppressAutoHyphens w:val="0"/>
        <w:spacing w:before="0" w:after="0" w:line="264" w:lineRule="auto"/>
        <w:jc w:val="both"/>
        <w:rPr>
          <w:rFonts w:ascii="Arial" w:hAnsi="Arial" w:cs="Arial"/>
          <w:sz w:val="20"/>
          <w:szCs w:val="20"/>
        </w:rPr>
      </w:pPr>
      <w:r w:rsidRPr="00D318EB">
        <w:rPr>
          <w:rFonts w:ascii="Arial" w:hAnsi="Arial" w:cs="Arial"/>
          <w:sz w:val="20"/>
          <w:szCs w:val="20"/>
        </w:rPr>
        <w:t>Have you been charged with or found guilty of a criminal offence within the last 12 months?</w:t>
      </w:r>
    </w:p>
    <w:p w14:paraId="73018E1B" w14:textId="77777777" w:rsidR="00CE7D4A" w:rsidRDefault="00CE7D4A" w:rsidP="00CE7D4A">
      <w:pPr>
        <w:spacing w:after="0"/>
        <w:ind w:left="720" w:firstLine="720"/>
        <w:rPr>
          <w:rFonts w:ascii="Arial" w:hAnsi="Arial" w:cs="Arial"/>
          <w:sz w:val="20"/>
          <w:szCs w:val="20"/>
        </w:rPr>
      </w:pPr>
      <w:r>
        <w:rPr>
          <w:rFonts w:ascii="Arial" w:hAnsi="Arial" w:cs="Arial"/>
          <w:sz w:val="20"/>
          <w:szCs w:val="20"/>
        </w:rPr>
        <w:t xml:space="preserve">YES </w:t>
      </w:r>
      <w:sdt>
        <w:sdtPr>
          <w:rPr>
            <w:rFonts w:ascii="Arial" w:hAnsi="Arial" w:cs="Arial"/>
            <w:sz w:val="32"/>
            <w:szCs w:val="32"/>
          </w:rPr>
          <w:id w:val="190093664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Pr>
          <w:rFonts w:ascii="Arial" w:hAnsi="Arial" w:cs="Arial"/>
          <w:sz w:val="20"/>
          <w:szCs w:val="20"/>
        </w:rPr>
        <w:t xml:space="preserve"> </w:t>
      </w:r>
      <w:r>
        <w:rPr>
          <w:rFonts w:ascii="Arial" w:hAnsi="Arial" w:cs="Arial"/>
          <w:sz w:val="20"/>
          <w:szCs w:val="20"/>
        </w:rPr>
        <w:tab/>
        <w:t xml:space="preserve">NO </w:t>
      </w:r>
      <w:sdt>
        <w:sdtPr>
          <w:rPr>
            <w:rFonts w:ascii="Arial" w:hAnsi="Arial" w:cs="Arial"/>
            <w:sz w:val="32"/>
            <w:szCs w:val="32"/>
          </w:rPr>
          <w:id w:val="51989581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1DB5A90E" w14:textId="77777777" w:rsidR="00CE7D4A" w:rsidRDefault="00CE7D4A" w:rsidP="00CE7D4A">
      <w:pPr>
        <w:spacing w:after="0"/>
        <w:rPr>
          <w:rFonts w:ascii="Arial" w:hAnsi="Arial" w:cs="Arial"/>
          <w:sz w:val="20"/>
          <w:szCs w:val="20"/>
        </w:rPr>
      </w:pPr>
    </w:p>
    <w:p w14:paraId="5D2352AE" w14:textId="77777777" w:rsidR="00CE7D4A" w:rsidRPr="00D318EB" w:rsidRDefault="00CE7D4A" w:rsidP="00CE7D4A">
      <w:pPr>
        <w:pStyle w:val="ListParagraph"/>
        <w:numPr>
          <w:ilvl w:val="0"/>
          <w:numId w:val="3"/>
        </w:numPr>
        <w:suppressAutoHyphens w:val="0"/>
        <w:spacing w:before="0" w:after="0" w:line="264" w:lineRule="auto"/>
        <w:jc w:val="both"/>
        <w:rPr>
          <w:rFonts w:ascii="Arial" w:hAnsi="Arial" w:cs="Arial"/>
          <w:sz w:val="20"/>
          <w:szCs w:val="20"/>
        </w:rPr>
      </w:pPr>
      <w:r w:rsidRPr="00D318EB">
        <w:rPr>
          <w:rFonts w:ascii="Arial" w:hAnsi="Arial" w:cs="Arial"/>
          <w:sz w:val="20"/>
          <w:szCs w:val="20"/>
        </w:rPr>
        <w:t>Have you accepted a caution from the police within the last 12 months?</w:t>
      </w:r>
    </w:p>
    <w:p w14:paraId="2F27B9D3" w14:textId="77777777" w:rsidR="00CE7D4A" w:rsidRDefault="00CE7D4A" w:rsidP="00CE7D4A">
      <w:pPr>
        <w:spacing w:after="0"/>
        <w:ind w:left="720" w:firstLine="720"/>
        <w:rPr>
          <w:rFonts w:ascii="Arial" w:hAnsi="Arial" w:cs="Arial"/>
          <w:sz w:val="20"/>
          <w:szCs w:val="20"/>
        </w:rPr>
      </w:pPr>
      <w:r>
        <w:rPr>
          <w:rFonts w:ascii="Arial" w:hAnsi="Arial" w:cs="Arial"/>
          <w:sz w:val="20"/>
          <w:szCs w:val="20"/>
        </w:rPr>
        <w:t xml:space="preserve">YES </w:t>
      </w:r>
      <w:sdt>
        <w:sdtPr>
          <w:rPr>
            <w:rFonts w:ascii="Arial" w:hAnsi="Arial" w:cs="Arial"/>
            <w:sz w:val="32"/>
            <w:szCs w:val="32"/>
          </w:rPr>
          <w:id w:val="843988144"/>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r>
        <w:rPr>
          <w:rFonts w:ascii="Arial" w:hAnsi="Arial" w:cs="Arial"/>
          <w:sz w:val="20"/>
          <w:szCs w:val="20"/>
        </w:rPr>
        <w:t xml:space="preserve"> </w:t>
      </w:r>
      <w:r>
        <w:rPr>
          <w:rFonts w:ascii="Arial" w:hAnsi="Arial" w:cs="Arial"/>
          <w:sz w:val="20"/>
          <w:szCs w:val="20"/>
        </w:rPr>
        <w:tab/>
        <w:t xml:space="preserve">NO </w:t>
      </w:r>
      <w:sdt>
        <w:sdtPr>
          <w:rPr>
            <w:rFonts w:ascii="Arial" w:hAnsi="Arial" w:cs="Arial"/>
            <w:sz w:val="32"/>
            <w:szCs w:val="32"/>
          </w:rPr>
          <w:id w:val="-208004419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22109A9D" w14:textId="77777777" w:rsidR="00CE7D4A" w:rsidRDefault="00CE7D4A" w:rsidP="00CE7D4A">
      <w:pPr>
        <w:spacing w:after="0"/>
        <w:rPr>
          <w:rFonts w:ascii="Arial" w:hAnsi="Arial" w:cs="Arial"/>
          <w:i/>
          <w:sz w:val="20"/>
          <w:szCs w:val="20"/>
        </w:rPr>
      </w:pPr>
    </w:p>
    <w:p w14:paraId="72082D08" w14:textId="77777777" w:rsidR="00CE7D4A" w:rsidRPr="00D318EB" w:rsidRDefault="00CE7D4A" w:rsidP="00CE7D4A">
      <w:pPr>
        <w:spacing w:after="0"/>
        <w:rPr>
          <w:rFonts w:ascii="Arial" w:hAnsi="Arial" w:cs="Arial"/>
          <w:sz w:val="20"/>
          <w:szCs w:val="20"/>
        </w:rPr>
      </w:pPr>
      <w:r w:rsidRPr="00D318EB">
        <w:rPr>
          <w:rFonts w:ascii="Arial" w:hAnsi="Arial" w:cs="Arial"/>
          <w:i/>
          <w:sz w:val="20"/>
          <w:szCs w:val="20"/>
        </w:rPr>
        <w:t>The Responsible Officer will be notified if you have answered ‘yes’ to either of the above questions</w:t>
      </w:r>
      <w:r>
        <w:rPr>
          <w:rFonts w:ascii="Arial" w:hAnsi="Arial" w:cs="Arial"/>
          <w:sz w:val="20"/>
          <w:szCs w:val="20"/>
        </w:rPr>
        <w:t xml:space="preserve">. </w:t>
      </w:r>
    </w:p>
    <w:p w14:paraId="3EB48E5B" w14:textId="77777777" w:rsidR="00CE7D4A" w:rsidRDefault="00CE7D4A" w:rsidP="00CE7D4A">
      <w:pPr>
        <w:spacing w:after="0"/>
        <w:rPr>
          <w:rFonts w:ascii="Arial" w:hAnsi="Arial" w:cs="Arial"/>
          <w:sz w:val="20"/>
          <w:szCs w:val="20"/>
        </w:rPr>
      </w:pPr>
    </w:p>
    <w:p w14:paraId="2FC61C0A" w14:textId="77777777" w:rsidR="00CE7D4A" w:rsidRPr="0065373E" w:rsidRDefault="00CE7D4A" w:rsidP="00CE7D4A">
      <w:pPr>
        <w:spacing w:after="0"/>
        <w:jc w:val="right"/>
        <w:rPr>
          <w:rFonts w:ascii="Arial" w:hAnsi="Arial" w:cs="Arial"/>
          <w:b/>
          <w:sz w:val="20"/>
          <w:szCs w:val="20"/>
        </w:rPr>
      </w:pPr>
      <w:r w:rsidRPr="0065373E">
        <w:rPr>
          <w:rFonts w:ascii="Arial" w:hAnsi="Arial" w:cs="Arial"/>
          <w:b/>
          <w:sz w:val="20"/>
          <w:szCs w:val="20"/>
        </w:rPr>
        <w:t>Please see over</w:t>
      </w:r>
    </w:p>
    <w:p w14:paraId="5E2E8372" w14:textId="77777777" w:rsidR="00CE7D4A" w:rsidRDefault="00CE7D4A" w:rsidP="00CE7D4A">
      <w:pPr>
        <w:spacing w:after="0"/>
        <w:rPr>
          <w:rFonts w:ascii="Arial" w:hAnsi="Arial" w:cs="Arial"/>
          <w:sz w:val="20"/>
          <w:szCs w:val="20"/>
        </w:rPr>
      </w:pPr>
      <w:r>
        <w:rPr>
          <w:rFonts w:ascii="Arial" w:hAnsi="Arial" w:cs="Arial"/>
          <w:sz w:val="20"/>
          <w:szCs w:val="20"/>
        </w:rPr>
        <w:br w:type="page"/>
      </w:r>
    </w:p>
    <w:p w14:paraId="3975A81F" w14:textId="77777777" w:rsidR="00CE7D4A" w:rsidRDefault="00CE7D4A" w:rsidP="00CE7D4A">
      <w:pPr>
        <w:spacing w:after="0"/>
        <w:rPr>
          <w:rFonts w:ascii="Arial" w:hAnsi="Arial" w:cs="Arial"/>
          <w:sz w:val="20"/>
          <w:szCs w:val="20"/>
        </w:rPr>
      </w:pPr>
      <w:r>
        <w:rPr>
          <w:rFonts w:ascii="Arial" w:hAnsi="Arial" w:cs="Arial"/>
          <w:sz w:val="20"/>
          <w:szCs w:val="20"/>
        </w:rPr>
        <w:lastRenderedPageBreak/>
        <w:t>All</w:t>
      </w:r>
      <w:r w:rsidRPr="00F320B9">
        <w:rPr>
          <w:rFonts w:ascii="Arial" w:hAnsi="Arial" w:cs="Arial"/>
          <w:sz w:val="20"/>
          <w:szCs w:val="20"/>
        </w:rPr>
        <w:t xml:space="preserve"> </w:t>
      </w:r>
      <w:r w:rsidRPr="00C04F08">
        <w:rPr>
          <w:rFonts w:ascii="Arial" w:hAnsi="Arial" w:cs="Arial"/>
          <w:sz w:val="20"/>
          <w:szCs w:val="20"/>
        </w:rPr>
        <w:t xml:space="preserve">doctors with a prescribed connection to FPH are required to complete and sign this declaration and share it with their appraiser. </w:t>
      </w:r>
    </w:p>
    <w:p w14:paraId="71BF82D4" w14:textId="77777777" w:rsidR="00CE7D4A" w:rsidRDefault="00CE7D4A" w:rsidP="00CE7D4A">
      <w:pPr>
        <w:spacing w:after="0"/>
        <w:jc w:val="right"/>
        <w:rPr>
          <w:rFonts w:ascii="Arial" w:hAnsi="Arial" w:cs="Arial"/>
          <w:b/>
          <w:sz w:val="20"/>
          <w:szCs w:val="20"/>
        </w:rPr>
      </w:pPr>
    </w:p>
    <w:p w14:paraId="5B0AE97D" w14:textId="77777777" w:rsidR="00CE7D4A" w:rsidRPr="00C04F08" w:rsidRDefault="00CE7D4A" w:rsidP="00CE7D4A">
      <w:pPr>
        <w:spacing w:after="0"/>
        <w:rPr>
          <w:rFonts w:ascii="Arial" w:hAnsi="Arial" w:cs="Arial"/>
          <w:sz w:val="20"/>
          <w:szCs w:val="20"/>
        </w:rPr>
      </w:pPr>
      <w:sdt>
        <w:sdtPr>
          <w:rPr>
            <w:rFonts w:ascii="Arial" w:hAnsi="Arial" w:cs="Arial"/>
            <w:sz w:val="28"/>
            <w:szCs w:val="28"/>
          </w:rPr>
          <w:id w:val="-125867044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Pr>
          <w:rFonts w:ascii="Arial" w:hAnsi="Arial" w:cs="Arial"/>
          <w:sz w:val="20"/>
          <w:szCs w:val="20"/>
        </w:rPr>
        <w:t xml:space="preserve"> I hereby declare that I have disclosed </w:t>
      </w:r>
      <w:proofErr w:type="gramStart"/>
      <w:r>
        <w:rPr>
          <w:rFonts w:ascii="Arial" w:hAnsi="Arial" w:cs="Arial"/>
          <w:sz w:val="20"/>
          <w:szCs w:val="20"/>
        </w:rPr>
        <w:t>any and all</w:t>
      </w:r>
      <w:proofErr w:type="gramEnd"/>
      <w:r>
        <w:rPr>
          <w:rFonts w:ascii="Arial" w:hAnsi="Arial" w:cs="Arial"/>
          <w:sz w:val="20"/>
          <w:szCs w:val="20"/>
        </w:rPr>
        <w:t xml:space="preserve"> known</w:t>
      </w:r>
      <w:r w:rsidRPr="00C04F08">
        <w:rPr>
          <w:rFonts w:ascii="Arial" w:hAnsi="Arial" w:cs="Arial"/>
          <w:sz w:val="20"/>
          <w:szCs w:val="20"/>
        </w:rPr>
        <w:t xml:space="preserve"> </w:t>
      </w:r>
      <w:r>
        <w:rPr>
          <w:rFonts w:ascii="Arial" w:hAnsi="Arial" w:cs="Arial"/>
          <w:sz w:val="20"/>
          <w:szCs w:val="20"/>
        </w:rPr>
        <w:t xml:space="preserve">information relating to clinical governance and audit. This information has been provided to my appraiser prior to my appraisal meeting. </w:t>
      </w:r>
    </w:p>
    <w:p w14:paraId="4CAC3E98" w14:textId="77777777" w:rsidR="00CE7D4A" w:rsidRDefault="00CE7D4A" w:rsidP="00CE7D4A">
      <w:pPr>
        <w:spacing w:after="0"/>
        <w:jc w:val="both"/>
        <w:rPr>
          <w:rFonts w:ascii="Arial" w:hAnsi="Arial" w:cs="Arial"/>
          <w:sz w:val="20"/>
          <w:szCs w:val="20"/>
        </w:rPr>
      </w:pPr>
    </w:p>
    <w:p w14:paraId="06EA336D" w14:textId="77777777" w:rsidR="00CE7D4A" w:rsidRDefault="00CE7D4A" w:rsidP="00CE7D4A">
      <w:pPr>
        <w:spacing w:after="0"/>
        <w:jc w:val="both"/>
        <w:rPr>
          <w:rFonts w:ascii="Arial" w:hAnsi="Arial" w:cs="Arial"/>
          <w:b/>
          <w:sz w:val="20"/>
          <w:szCs w:val="20"/>
        </w:rPr>
      </w:pPr>
      <w:r>
        <w:rPr>
          <w:rFonts w:ascii="Arial" w:hAnsi="Arial" w:cs="Arial"/>
          <w:b/>
          <w:sz w:val="20"/>
          <w:szCs w:val="20"/>
        </w:rPr>
        <w:t>AND</w:t>
      </w:r>
    </w:p>
    <w:p w14:paraId="61C386C8" w14:textId="77777777" w:rsidR="00CE7D4A" w:rsidRPr="00F320B9" w:rsidRDefault="00CE7D4A" w:rsidP="00CE7D4A">
      <w:pPr>
        <w:spacing w:after="0"/>
        <w:rPr>
          <w:rFonts w:ascii="Arial" w:hAnsi="Arial" w:cs="Arial"/>
          <w:sz w:val="20"/>
          <w:szCs w:val="20"/>
        </w:rPr>
      </w:pPr>
      <w:sdt>
        <w:sdtPr>
          <w:rPr>
            <w:rFonts w:ascii="Arial" w:hAnsi="Arial" w:cs="Arial"/>
            <w:sz w:val="28"/>
            <w:szCs w:val="28"/>
          </w:rPr>
          <w:id w:val="-1138334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Pr>
          <w:rFonts w:ascii="Arial" w:hAnsi="Arial" w:cs="Arial"/>
          <w:sz w:val="20"/>
          <w:szCs w:val="20"/>
        </w:rPr>
        <w:t xml:space="preserve"> I hereby declare that I have no knowledge of any information relating to my fitness to practice.</w:t>
      </w:r>
    </w:p>
    <w:p w14:paraId="25168A9D" w14:textId="77777777" w:rsidR="00CE7D4A" w:rsidRDefault="00CE7D4A" w:rsidP="00CE7D4A">
      <w:pPr>
        <w:spacing w:after="0"/>
        <w:jc w:val="both"/>
        <w:rPr>
          <w:rFonts w:ascii="Arial" w:hAnsi="Arial" w:cs="Arial"/>
          <w:sz w:val="20"/>
          <w:szCs w:val="20"/>
        </w:rPr>
      </w:pPr>
    </w:p>
    <w:p w14:paraId="6CD06859" w14:textId="77777777" w:rsidR="00CE7D4A" w:rsidRDefault="00CE7D4A" w:rsidP="00CE7D4A">
      <w:pPr>
        <w:spacing w:after="0"/>
        <w:rPr>
          <w:rFonts w:ascii="Arial" w:hAnsi="Arial" w:cs="Arial"/>
          <w:sz w:val="20"/>
          <w:szCs w:val="20"/>
        </w:rPr>
      </w:pPr>
      <w:r w:rsidRPr="004C7EA4">
        <w:rPr>
          <w:rFonts w:ascii="Arial" w:hAnsi="Arial" w:cs="Arial"/>
          <w:sz w:val="20"/>
          <w:szCs w:val="20"/>
        </w:rPr>
        <w:t xml:space="preserve">I have read, understood and agree to comply with all details </w:t>
      </w:r>
      <w:r>
        <w:rPr>
          <w:rFonts w:ascii="Arial" w:hAnsi="Arial" w:cs="Arial"/>
          <w:sz w:val="20"/>
          <w:szCs w:val="20"/>
        </w:rPr>
        <w:t xml:space="preserve">FPH and GMC guidance related to information relating to my fitness to practice. </w:t>
      </w:r>
    </w:p>
    <w:p w14:paraId="12400AD5" w14:textId="77777777" w:rsidR="00CE7D4A" w:rsidRDefault="00CE7D4A" w:rsidP="00CE7D4A">
      <w:pPr>
        <w:spacing w:after="0"/>
        <w:rPr>
          <w:rFonts w:ascii="Arial" w:hAnsi="Arial" w:cs="Arial"/>
          <w:sz w:val="20"/>
          <w:szCs w:val="20"/>
        </w:rPr>
      </w:pPr>
    </w:p>
    <w:p w14:paraId="3DEC4174" w14:textId="77777777" w:rsidR="00CE7D4A" w:rsidRDefault="00CE7D4A" w:rsidP="00CE7D4A">
      <w:pPr>
        <w:spacing w:after="0"/>
        <w:rPr>
          <w:rFonts w:ascii="Arial" w:hAnsi="Arial" w:cs="Arial"/>
          <w:sz w:val="20"/>
          <w:szCs w:val="20"/>
        </w:rPr>
      </w:pPr>
      <w:r w:rsidRPr="00F320B9">
        <w:rPr>
          <w:rFonts w:ascii="Arial" w:hAnsi="Arial" w:cs="Arial"/>
          <w:sz w:val="20"/>
          <w:szCs w:val="20"/>
        </w:rPr>
        <w:t>I declare that I accept the professional obligations placed on me in Good Medical Practice in relation to probity, including the statutory obligation on me to ensure that I have adequate professional indemnity for all my professional roles.</w:t>
      </w:r>
    </w:p>
    <w:p w14:paraId="2B97E233" w14:textId="77777777" w:rsidR="00CE7D4A" w:rsidRPr="00F320B9" w:rsidRDefault="00CE7D4A" w:rsidP="00CE7D4A">
      <w:pPr>
        <w:spacing w:after="0"/>
        <w:rPr>
          <w:rFonts w:ascii="Arial" w:hAnsi="Arial" w:cs="Arial"/>
          <w:sz w:val="20"/>
          <w:szCs w:val="20"/>
        </w:rPr>
      </w:pPr>
    </w:p>
    <w:p w14:paraId="7CCD76F2" w14:textId="77777777" w:rsidR="00CE7D4A" w:rsidRDefault="00CE7D4A" w:rsidP="00CE7D4A">
      <w:pPr>
        <w:spacing w:after="0"/>
        <w:rPr>
          <w:rFonts w:ascii="Arial" w:hAnsi="Arial" w:cs="Arial"/>
          <w:sz w:val="20"/>
          <w:szCs w:val="20"/>
        </w:rPr>
      </w:pPr>
      <w:r>
        <w:rPr>
          <w:rFonts w:ascii="Arial" w:hAnsi="Arial" w:cs="Arial"/>
          <w:sz w:val="20"/>
          <w:szCs w:val="20"/>
        </w:rPr>
        <w:t>I am aware that making a false declaration could put my registration at risk.</w:t>
      </w:r>
    </w:p>
    <w:p w14:paraId="7159197F" w14:textId="77777777" w:rsidR="00CE7D4A" w:rsidRDefault="00CE7D4A" w:rsidP="00CE7D4A">
      <w:pPr>
        <w:spacing w:after="0"/>
        <w:rPr>
          <w:rFonts w:ascii="Arial" w:hAnsi="Arial" w:cs="Arial"/>
          <w:b/>
          <w:sz w:val="20"/>
          <w:szCs w:val="20"/>
        </w:rPr>
      </w:pPr>
    </w:p>
    <w:p w14:paraId="02341972" w14:textId="77777777" w:rsidR="00CE7D4A" w:rsidRDefault="00CE7D4A" w:rsidP="00CE7D4A">
      <w:pPr>
        <w:spacing w:after="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CE7D4A" w:rsidRPr="00D45599" w14:paraId="11214D0A" w14:textId="77777777" w:rsidTr="001454F0">
        <w:tc>
          <w:tcPr>
            <w:tcW w:w="2376" w:type="dxa"/>
          </w:tcPr>
          <w:p w14:paraId="23C0EB14" w14:textId="77777777" w:rsidR="00CE7D4A" w:rsidRDefault="00CE7D4A" w:rsidP="001454F0">
            <w:pPr>
              <w:spacing w:after="0"/>
              <w:rPr>
                <w:rFonts w:ascii="Arial" w:hAnsi="Arial" w:cs="Arial"/>
                <w:b/>
                <w:sz w:val="20"/>
                <w:szCs w:val="20"/>
              </w:rPr>
            </w:pPr>
            <w:r>
              <w:rPr>
                <w:rFonts w:ascii="Arial" w:hAnsi="Arial" w:cs="Arial"/>
                <w:b/>
                <w:sz w:val="20"/>
                <w:szCs w:val="20"/>
              </w:rPr>
              <w:t>Date completed:</w:t>
            </w:r>
          </w:p>
        </w:tc>
        <w:tc>
          <w:tcPr>
            <w:tcW w:w="6866" w:type="dxa"/>
          </w:tcPr>
          <w:p w14:paraId="3B072EBE" w14:textId="77777777" w:rsidR="00CE7D4A" w:rsidRDefault="00CE7D4A" w:rsidP="001454F0">
            <w:pPr>
              <w:spacing w:after="0"/>
              <w:jc w:val="center"/>
              <w:rPr>
                <w:rFonts w:ascii="Arial" w:hAnsi="Arial" w:cs="Arial"/>
                <w:b/>
                <w:sz w:val="20"/>
                <w:szCs w:val="20"/>
              </w:rPr>
            </w:pPr>
          </w:p>
          <w:p w14:paraId="1D98FCA7" w14:textId="77777777" w:rsidR="00CE7D4A" w:rsidRPr="00D45599" w:rsidRDefault="00CE7D4A" w:rsidP="001454F0">
            <w:pPr>
              <w:spacing w:after="0"/>
              <w:jc w:val="center"/>
              <w:rPr>
                <w:rFonts w:ascii="Arial" w:hAnsi="Arial" w:cs="Arial"/>
                <w:b/>
                <w:sz w:val="20"/>
                <w:szCs w:val="20"/>
              </w:rPr>
            </w:pPr>
          </w:p>
        </w:tc>
      </w:tr>
      <w:tr w:rsidR="00CE7D4A" w:rsidRPr="00D45599" w14:paraId="7F727E5D" w14:textId="77777777" w:rsidTr="001454F0">
        <w:tc>
          <w:tcPr>
            <w:tcW w:w="2376" w:type="dxa"/>
          </w:tcPr>
          <w:p w14:paraId="45953F37" w14:textId="77777777" w:rsidR="00CE7D4A" w:rsidRDefault="00CE7D4A" w:rsidP="001454F0">
            <w:pPr>
              <w:spacing w:after="0"/>
              <w:rPr>
                <w:rFonts w:ascii="Arial" w:hAnsi="Arial" w:cs="Arial"/>
                <w:b/>
                <w:sz w:val="20"/>
                <w:szCs w:val="20"/>
              </w:rPr>
            </w:pPr>
            <w:r>
              <w:rPr>
                <w:rFonts w:ascii="Arial" w:hAnsi="Arial" w:cs="Arial"/>
                <w:b/>
                <w:sz w:val="20"/>
                <w:szCs w:val="20"/>
              </w:rPr>
              <w:t>Signature:</w:t>
            </w:r>
          </w:p>
          <w:p w14:paraId="09A6FEDF" w14:textId="77777777" w:rsidR="00CE7D4A" w:rsidRPr="004C7EA4" w:rsidRDefault="00CE7D4A" w:rsidP="001454F0">
            <w:pPr>
              <w:spacing w:after="0"/>
              <w:rPr>
                <w:rFonts w:ascii="Arial" w:hAnsi="Arial" w:cs="Arial"/>
                <w:sz w:val="20"/>
                <w:szCs w:val="20"/>
              </w:rPr>
            </w:pPr>
            <w:r w:rsidRPr="004C7EA4">
              <w:rPr>
                <w:rFonts w:ascii="Arial" w:hAnsi="Arial" w:cs="Arial"/>
                <w:sz w:val="20"/>
                <w:szCs w:val="20"/>
              </w:rPr>
              <w:t>(electronic acceptable)</w:t>
            </w:r>
          </w:p>
        </w:tc>
        <w:tc>
          <w:tcPr>
            <w:tcW w:w="6866" w:type="dxa"/>
          </w:tcPr>
          <w:p w14:paraId="668C54FA" w14:textId="77777777" w:rsidR="00CE7D4A" w:rsidRDefault="00CE7D4A" w:rsidP="001454F0">
            <w:pPr>
              <w:spacing w:after="0"/>
              <w:jc w:val="center"/>
              <w:rPr>
                <w:rFonts w:ascii="Arial" w:hAnsi="Arial" w:cs="Arial"/>
                <w:b/>
                <w:sz w:val="20"/>
                <w:szCs w:val="20"/>
              </w:rPr>
            </w:pPr>
          </w:p>
          <w:p w14:paraId="30A4DBDB" w14:textId="77777777" w:rsidR="00CE7D4A" w:rsidRDefault="00CE7D4A" w:rsidP="001454F0">
            <w:pPr>
              <w:spacing w:after="0"/>
              <w:jc w:val="center"/>
              <w:rPr>
                <w:rFonts w:ascii="Arial" w:hAnsi="Arial" w:cs="Arial"/>
                <w:b/>
                <w:sz w:val="20"/>
                <w:szCs w:val="20"/>
              </w:rPr>
            </w:pPr>
          </w:p>
          <w:p w14:paraId="3F931CA7" w14:textId="77777777" w:rsidR="00CE7D4A" w:rsidRDefault="00CE7D4A" w:rsidP="001454F0">
            <w:pPr>
              <w:spacing w:after="0"/>
              <w:jc w:val="center"/>
              <w:rPr>
                <w:rFonts w:ascii="Arial" w:hAnsi="Arial" w:cs="Arial"/>
                <w:b/>
                <w:sz w:val="20"/>
                <w:szCs w:val="20"/>
              </w:rPr>
            </w:pPr>
          </w:p>
          <w:p w14:paraId="09BF0013" w14:textId="77777777" w:rsidR="00CE7D4A" w:rsidRPr="00D45599" w:rsidRDefault="00CE7D4A" w:rsidP="001454F0">
            <w:pPr>
              <w:spacing w:after="0"/>
              <w:jc w:val="center"/>
              <w:rPr>
                <w:rFonts w:ascii="Arial" w:hAnsi="Arial" w:cs="Arial"/>
                <w:b/>
                <w:sz w:val="20"/>
                <w:szCs w:val="20"/>
              </w:rPr>
            </w:pPr>
          </w:p>
        </w:tc>
      </w:tr>
    </w:tbl>
    <w:p w14:paraId="6666AF18" w14:textId="77777777" w:rsidR="00CE7D4A" w:rsidRDefault="00CE7D4A" w:rsidP="00CE7D4A">
      <w:pPr>
        <w:spacing w:after="0"/>
        <w:rPr>
          <w:rFonts w:ascii="Arial" w:hAnsi="Arial" w:cs="Arial"/>
          <w:b/>
          <w:sz w:val="20"/>
          <w:szCs w:val="20"/>
        </w:rPr>
      </w:pPr>
    </w:p>
    <w:p w14:paraId="0C58088F" w14:textId="77777777" w:rsidR="00CE7D4A" w:rsidRDefault="00CE7D4A" w:rsidP="00CE7D4A">
      <w:pPr>
        <w:spacing w:after="0"/>
        <w:rPr>
          <w:rFonts w:ascii="Arial" w:hAnsi="Arial" w:cs="Arial"/>
          <w:b/>
          <w:sz w:val="20"/>
          <w:szCs w:val="20"/>
        </w:rPr>
      </w:pPr>
    </w:p>
    <w:p w14:paraId="284D0B73" w14:textId="77777777" w:rsidR="00CE7D4A" w:rsidRPr="00783D0C" w:rsidRDefault="00CE7D4A" w:rsidP="00CE7D4A">
      <w:pPr>
        <w:pStyle w:val="NormalWeb"/>
        <w:contextualSpacing/>
        <w:rPr>
          <w:rFonts w:ascii="Tahoma" w:hAnsi="Tahoma" w:cs="Tahoma"/>
          <w:color w:val="000000"/>
          <w:sz w:val="18"/>
          <w:szCs w:val="18"/>
        </w:rPr>
      </w:pPr>
    </w:p>
    <w:p w14:paraId="353F9E63" w14:textId="77777777" w:rsidR="00CE7D4A" w:rsidRDefault="00CE7D4A" w:rsidP="00E37566">
      <w:pPr>
        <w:spacing w:before="120"/>
        <w:ind w:left="0"/>
        <w:rPr>
          <w:rFonts w:ascii="Arial" w:hAnsi="Arial" w:cs="Arial"/>
          <w:sz w:val="22"/>
          <w:szCs w:val="22"/>
        </w:rPr>
      </w:pPr>
    </w:p>
    <w:sectPr w:rsidR="00CE7D4A">
      <w:headerReference w:type="default" r:id="rId9"/>
      <w:footerReference w:type="default" r:id="rId10"/>
      <w:headerReference w:type="first" r:id="rId11"/>
      <w:footerReference w:type="first" r:id="rId12"/>
      <w:pgSz w:w="11906" w:h="16838"/>
      <w:pgMar w:top="1276" w:right="1080" w:bottom="993" w:left="1080" w:header="708" w:footer="5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FD7FA" w14:textId="77777777" w:rsidR="0087770E" w:rsidRDefault="00C30AEA">
      <w:pPr>
        <w:spacing w:before="0" w:after="0"/>
      </w:pPr>
      <w:r>
        <w:separator/>
      </w:r>
    </w:p>
  </w:endnote>
  <w:endnote w:type="continuationSeparator" w:id="0">
    <w:p w14:paraId="23190761" w14:textId="77777777" w:rsidR="0087770E" w:rsidRDefault="00C30A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AFC5" w14:textId="77777777" w:rsidR="00003D01" w:rsidRDefault="00003D0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974D" w14:textId="77777777" w:rsidR="00003D01" w:rsidRDefault="00003D01">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4167" w14:textId="77777777" w:rsidR="0087770E" w:rsidRDefault="00C30AEA">
      <w:pPr>
        <w:spacing w:before="0" w:after="0"/>
      </w:pPr>
      <w:r>
        <w:separator/>
      </w:r>
    </w:p>
  </w:footnote>
  <w:footnote w:type="continuationSeparator" w:id="0">
    <w:p w14:paraId="70DB66EF" w14:textId="77777777" w:rsidR="0087770E" w:rsidRDefault="00C30A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25E7" w14:textId="6F0F405A" w:rsidR="00003D01" w:rsidRDefault="00003D01">
    <w:pPr>
      <w:pStyle w:val="Header"/>
      <w:jc w:val="center"/>
      <w:rPr>
        <w:b/>
        <w:color w:val="44546A"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91B5" w14:textId="77777777" w:rsidR="00003D01" w:rsidRDefault="00C30AEA">
    <w:pPr>
      <w:pStyle w:val="Header"/>
    </w:pPr>
    <w:r>
      <w:rPr>
        <w:noProof/>
      </w:rPr>
      <w:drawing>
        <wp:anchor distT="0" distB="0" distL="0" distR="0" simplePos="0" relativeHeight="251656704" behindDoc="1" locked="0" layoutInCell="0" allowOverlap="1" wp14:anchorId="6F3B6F24" wp14:editId="562398A9">
          <wp:simplePos x="0" y="0"/>
          <wp:positionH relativeFrom="column">
            <wp:posOffset>-675640</wp:posOffset>
          </wp:positionH>
          <wp:positionV relativeFrom="paragraph">
            <wp:posOffset>-449580</wp:posOffset>
          </wp:positionV>
          <wp:extent cx="7569200" cy="180276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
                  <a:stretch>
                    <a:fillRect/>
                  </a:stretch>
                </pic:blipFill>
                <pic:spPr bwMode="auto">
                  <a:xfrm>
                    <a:off x="0" y="0"/>
                    <a:ext cx="7569200" cy="1802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20F8C"/>
    <w:multiLevelType w:val="multilevel"/>
    <w:tmpl w:val="1D547D18"/>
    <w:lvl w:ilvl="0">
      <w:start w:val="1"/>
      <w:numFmt w:val="decimal"/>
      <w:pStyle w:val="Heading1"/>
      <w:lvlText w:val="%1."/>
      <w:lvlJc w:val="left"/>
      <w:pPr>
        <w:tabs>
          <w:tab w:val="num" w:pos="0"/>
        </w:tabs>
        <w:ind w:left="1077"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106CB6"/>
    <w:multiLevelType w:val="multilevel"/>
    <w:tmpl w:val="7F1CDA5A"/>
    <w:lvl w:ilvl="0">
      <w:start w:val="1"/>
      <w:numFmt w:val="bullet"/>
      <w:lvlText w:val=""/>
      <w:lvlJc w:val="left"/>
      <w:pPr>
        <w:tabs>
          <w:tab w:val="num" w:pos="0"/>
        </w:tabs>
        <w:ind w:left="720" w:hanging="360"/>
      </w:pPr>
      <w:rPr>
        <w:rFonts w:ascii="Symbol" w:hAnsi="Symbol" w:cs="Symbol" w:hint="default"/>
        <w:color w:val="1F386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D735393"/>
    <w:multiLevelType w:val="hybridMultilevel"/>
    <w:tmpl w:val="AC92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742448">
    <w:abstractNumId w:val="0"/>
  </w:num>
  <w:num w:numId="2" w16cid:durableId="1147939834">
    <w:abstractNumId w:val="1"/>
  </w:num>
  <w:num w:numId="3" w16cid:durableId="1068921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01"/>
    <w:rsid w:val="00003D01"/>
    <w:rsid w:val="00090B28"/>
    <w:rsid w:val="000B5D7F"/>
    <w:rsid w:val="00231CCA"/>
    <w:rsid w:val="002C24BB"/>
    <w:rsid w:val="003014ED"/>
    <w:rsid w:val="00384266"/>
    <w:rsid w:val="003D3F59"/>
    <w:rsid w:val="00526B09"/>
    <w:rsid w:val="005E1220"/>
    <w:rsid w:val="008045EF"/>
    <w:rsid w:val="00875C83"/>
    <w:rsid w:val="0087770E"/>
    <w:rsid w:val="008A1A2C"/>
    <w:rsid w:val="008E7543"/>
    <w:rsid w:val="009B2953"/>
    <w:rsid w:val="00B84E22"/>
    <w:rsid w:val="00C30AEA"/>
    <w:rsid w:val="00C74FC2"/>
    <w:rsid w:val="00C951D3"/>
    <w:rsid w:val="00CE7D4A"/>
    <w:rsid w:val="00DF7FC8"/>
    <w:rsid w:val="00E37566"/>
    <w:rsid w:val="00E759C7"/>
    <w:rsid w:val="00F04810"/>
    <w:rsid w:val="00F47340"/>
    <w:rsid w:val="00F6352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7495B76A"/>
  <w15:docId w15:val="{52351BF2-09F0-4DEC-A995-9A6AB139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15"/>
    <w:pPr>
      <w:spacing w:before="60" w:after="120"/>
      <w:ind w:left="357"/>
    </w:pPr>
    <w:rPr>
      <w:sz w:val="24"/>
      <w:szCs w:val="24"/>
    </w:rPr>
  </w:style>
  <w:style w:type="paragraph" w:styleId="Heading1">
    <w:name w:val="heading 1"/>
    <w:basedOn w:val="Normal"/>
    <w:next w:val="Normal"/>
    <w:link w:val="Heading1Char"/>
    <w:uiPriority w:val="9"/>
    <w:qFormat/>
    <w:rsid w:val="009059A8"/>
    <w:pPr>
      <w:keepNext/>
      <w:keepLines/>
      <w:numPr>
        <w:numId w:val="1"/>
      </w:numPr>
      <w:spacing w:before="360"/>
      <w:ind w:left="567" w:hanging="567"/>
      <w:outlineLvl w:val="0"/>
    </w:pPr>
    <w:rPr>
      <w:rFonts w:ascii="Arial" w:eastAsiaTheme="majorEastAsia" w:hAnsi="Arial" w:cs="Arial"/>
      <w:b/>
      <w:bCs/>
      <w:color w:val="1F4E79" w:themeColor="accent5" w:themeShade="80"/>
    </w:rPr>
  </w:style>
  <w:style w:type="paragraph" w:styleId="Heading2">
    <w:name w:val="heading 2"/>
    <w:basedOn w:val="Normal"/>
    <w:next w:val="Normal"/>
    <w:link w:val="Heading2Char"/>
    <w:uiPriority w:val="9"/>
    <w:unhideWhenUsed/>
    <w:qFormat/>
    <w:rsid w:val="009059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59A8"/>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059A8"/>
    <w:pPr>
      <w:keepNext/>
      <w:keepLines/>
      <w:spacing w:before="240" w:after="0"/>
      <w:ind w:left="0"/>
      <w:outlineLvl w:val="3"/>
    </w:pPr>
    <w:rPr>
      <w:rFonts w:ascii="Arial" w:eastAsiaTheme="majorEastAsia" w:hAnsi="Arial" w:cs="Arial"/>
      <w:b/>
      <w:bCs/>
      <w:color w:val="1F4E79" w:themeColor="accent5" w:themeShade="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17015"/>
    <w:rPr>
      <w:sz w:val="24"/>
      <w:szCs w:val="24"/>
    </w:rPr>
  </w:style>
  <w:style w:type="character" w:styleId="Hyperlink">
    <w:name w:val="Hyperlink"/>
    <w:uiPriority w:val="99"/>
    <w:rsid w:val="00517015"/>
    <w:rPr>
      <w:color w:val="0000FF"/>
      <w:u w:val="single"/>
    </w:rPr>
  </w:style>
  <w:style w:type="character" w:customStyle="1" w:styleId="TitleChar">
    <w:name w:val="Title Char"/>
    <w:basedOn w:val="DefaultParagraphFont"/>
    <w:link w:val="Title"/>
    <w:uiPriority w:val="10"/>
    <w:qFormat/>
    <w:rsid w:val="009059A8"/>
    <w:rPr>
      <w:rFonts w:ascii="Arial" w:eastAsiaTheme="majorEastAsia" w:hAnsi="Arial" w:cs="Arial"/>
      <w:b/>
      <w:bCs/>
      <w:color w:val="1F4E79" w:themeColor="accent5" w:themeShade="80"/>
      <w:spacing w:val="-10"/>
      <w:kern w:val="2"/>
      <w:sz w:val="40"/>
      <w:szCs w:val="40"/>
      <w:lang w:eastAsia="en-GB"/>
    </w:rPr>
  </w:style>
  <w:style w:type="character" w:customStyle="1" w:styleId="Heading2Char">
    <w:name w:val="Heading 2 Char"/>
    <w:basedOn w:val="DefaultParagraphFont"/>
    <w:link w:val="Heading2"/>
    <w:uiPriority w:val="9"/>
    <w:qFormat/>
    <w:rsid w:val="009059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qFormat/>
    <w:rsid w:val="009059A8"/>
    <w:rPr>
      <w:rFonts w:ascii="Arial" w:eastAsiaTheme="majorEastAsia" w:hAnsi="Arial" w:cs="Arial"/>
      <w:b/>
      <w:bCs/>
      <w:color w:val="1F4E79" w:themeColor="accent5" w:themeShade="80"/>
      <w:sz w:val="24"/>
      <w:szCs w:val="24"/>
    </w:rPr>
  </w:style>
  <w:style w:type="character" w:customStyle="1" w:styleId="Heading3Char">
    <w:name w:val="Heading 3 Char"/>
    <w:basedOn w:val="DefaultParagraphFont"/>
    <w:link w:val="Heading3"/>
    <w:uiPriority w:val="9"/>
    <w:qFormat/>
    <w:rsid w:val="009059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9059A8"/>
    <w:rPr>
      <w:rFonts w:ascii="Arial" w:eastAsiaTheme="majorEastAsia" w:hAnsi="Arial" w:cs="Arial"/>
      <w:b/>
      <w:bCs/>
      <w:color w:val="1F4E79" w:themeColor="accent5" w:themeShade="80"/>
      <w:sz w:val="20"/>
      <w:szCs w:val="20"/>
    </w:rPr>
  </w:style>
  <w:style w:type="character" w:customStyle="1" w:styleId="FooterChar">
    <w:name w:val="Footer Char"/>
    <w:basedOn w:val="DefaultParagraphFont"/>
    <w:link w:val="Footer"/>
    <w:uiPriority w:val="99"/>
    <w:qFormat/>
    <w:rsid w:val="009059A8"/>
    <w:rPr>
      <w:sz w:val="24"/>
      <w:szCs w:val="24"/>
    </w:rPr>
  </w:style>
  <w:style w:type="character" w:styleId="UnresolvedMention">
    <w:name w:val="Unresolved Mention"/>
    <w:basedOn w:val="DefaultParagraphFont"/>
    <w:uiPriority w:val="99"/>
    <w:semiHidden/>
    <w:unhideWhenUsed/>
    <w:qFormat/>
    <w:rsid w:val="00F81E0F"/>
    <w:rPr>
      <w:color w:val="605E5C"/>
      <w:shd w:val="clear" w:color="auto" w:fill="E1DFDD"/>
    </w:rPr>
  </w:style>
  <w:style w:type="paragraph" w:customStyle="1" w:styleId="Heading">
    <w:name w:val="Heading"/>
    <w:basedOn w:val="Normal"/>
    <w:next w:val="BodyText"/>
    <w:qFormat/>
    <w:pPr>
      <w:keepNext/>
      <w:spacing w:before="240"/>
    </w:pPr>
    <w:rPr>
      <w:rFonts w:ascii="Liberation Sans" w:eastAsia="Microsoft YaHei" w:hAnsi="Liberation Sans" w:cs="Arial Unicode MS"/>
      <w:sz w:val="28"/>
      <w:szCs w:val="28"/>
    </w:rPr>
  </w:style>
  <w:style w:type="paragraph" w:styleId="BodyText">
    <w:name w:val="Body Text"/>
    <w:basedOn w:val="Normal"/>
    <w:pPr>
      <w:spacing w:before="0"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17015"/>
    <w:pPr>
      <w:tabs>
        <w:tab w:val="center" w:pos="4513"/>
        <w:tab w:val="right" w:pos="9026"/>
      </w:tabs>
      <w:spacing w:after="0"/>
    </w:pPr>
  </w:style>
  <w:style w:type="paragraph" w:styleId="Title">
    <w:name w:val="Title"/>
    <w:basedOn w:val="Normal"/>
    <w:next w:val="Normal"/>
    <w:link w:val="TitleChar"/>
    <w:uiPriority w:val="10"/>
    <w:qFormat/>
    <w:rsid w:val="009059A8"/>
    <w:pPr>
      <w:spacing w:before="0" w:after="0"/>
      <w:ind w:left="0"/>
      <w:contextualSpacing/>
      <w:jc w:val="center"/>
    </w:pPr>
    <w:rPr>
      <w:rFonts w:ascii="Arial" w:eastAsiaTheme="majorEastAsia" w:hAnsi="Arial" w:cs="Arial"/>
      <w:b/>
      <w:bCs/>
      <w:color w:val="1F4E79" w:themeColor="accent5" w:themeShade="80"/>
      <w:spacing w:val="-10"/>
      <w:kern w:val="2"/>
      <w:sz w:val="40"/>
      <w:szCs w:val="40"/>
      <w:lang w:eastAsia="en-GB"/>
    </w:rPr>
  </w:style>
  <w:style w:type="paragraph" w:styleId="ListParagraph">
    <w:name w:val="List Paragraph"/>
    <w:basedOn w:val="Normal"/>
    <w:qFormat/>
    <w:rsid w:val="009059A8"/>
    <w:pPr>
      <w:ind w:left="720"/>
      <w:contextualSpacing/>
    </w:pPr>
  </w:style>
  <w:style w:type="paragraph" w:styleId="Footer">
    <w:name w:val="footer"/>
    <w:basedOn w:val="Normal"/>
    <w:link w:val="FooterChar"/>
    <w:uiPriority w:val="99"/>
    <w:unhideWhenUsed/>
    <w:rsid w:val="009059A8"/>
    <w:pPr>
      <w:tabs>
        <w:tab w:val="center" w:pos="4513"/>
        <w:tab w:val="right" w:pos="9026"/>
      </w:tabs>
      <w:spacing w:before="0" w:after="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26B09"/>
    <w:rPr>
      <w:color w:val="954F72" w:themeColor="followedHyperlink"/>
      <w:u w:val="single"/>
    </w:rPr>
  </w:style>
  <w:style w:type="paragraph" w:styleId="NormalWeb">
    <w:name w:val="Normal (Web)"/>
    <w:basedOn w:val="Normal"/>
    <w:uiPriority w:val="99"/>
    <w:unhideWhenUsed/>
    <w:rsid w:val="00CE7D4A"/>
    <w:pPr>
      <w:suppressAutoHyphens w:val="0"/>
      <w:spacing w:before="100" w:beforeAutospacing="1" w:after="100" w:afterAutospacing="1"/>
      <w:ind w:left="0"/>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mc-uk.org/registration-and-licensing/employers-medical-schools-and-colleges/effective-clinical-governance-to-support-revalid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16F1-9356-4A77-ADB4-1119DC60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Haydock</dc:creator>
  <dc:description/>
  <cp:lastModifiedBy>Renja Salonen</cp:lastModifiedBy>
  <cp:revision>2</cp:revision>
  <dcterms:created xsi:type="dcterms:W3CDTF">2024-12-11T09:47:00Z</dcterms:created>
  <dcterms:modified xsi:type="dcterms:W3CDTF">2024-12-11T09:47:00Z</dcterms:modified>
  <dc:language>en-GB</dc:language>
</cp:coreProperties>
</file>